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(EcoGen)</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4B71DE8D"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and (vi) </w:t>
      </w:r>
      <w:r w:rsidR="00CF6A7E" w:rsidRPr="00CF6A7E">
        <w:rPr>
          <w:rFonts w:eastAsia="Times New Roman" w:cstheme="minorHAnsi"/>
          <w:color w:val="212224"/>
          <w:sz w:val="24"/>
          <w:szCs w:val="24"/>
          <w:lang w:val="en-GB" w:eastAsia="fi-FI"/>
        </w:rPr>
        <w:t>interactions between organism of different trophic levels</w:t>
      </w:r>
      <w:r w:rsidR="00AF409A">
        <w:rPr>
          <w:rFonts w:eastAsia="Times New Roman" w:cstheme="minorHAnsi"/>
          <w:color w:val="212224"/>
          <w:sz w:val="24"/>
          <w:szCs w:val="24"/>
          <w:lang w:val="en-GB" w:eastAsia="fi-FI"/>
        </w:rPr>
        <w:t xml:space="preserve"> and ecosystem processes</w:t>
      </w:r>
      <w:r w:rsidR="00CF6A7E" w:rsidRPr="00047217">
        <w:rPr>
          <w:rFonts w:eastAsia="Times New Roman" w:cstheme="minorHAnsi"/>
          <w:color w:val="212224"/>
          <w:sz w:val="24"/>
          <w:szCs w:val="24"/>
          <w:lang w:val="en-GB" w:eastAsia="fi-FI"/>
        </w:rPr>
        <w:t xml:space="preserve">. </w:t>
      </w:r>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7EDC7F0C" w:rsidR="00F91BD4" w:rsidRPr="000B4CAA" w:rsidRDefault="00903FFE" w:rsidP="00617BEA">
      <w:pPr>
        <w:rPr>
          <w:sz w:val="24"/>
          <w:szCs w:val="24"/>
          <w:lang w:val="en-US"/>
        </w:rPr>
      </w:pPr>
      <w:bookmarkStart w:id="1"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r w:rsidR="007F4033">
        <w:rPr>
          <w:sz w:val="24"/>
          <w:szCs w:val="24"/>
          <w:lang w:val="en-US"/>
        </w:rPr>
        <w:t>p</w:t>
      </w:r>
      <w:r w:rsidR="00371369" w:rsidRPr="00371369">
        <w:rPr>
          <w:sz w:val="24"/>
          <w:szCs w:val="24"/>
          <w:lang w:val="en-US"/>
        </w:rPr>
        <w:t>rogramme</w:t>
      </w:r>
      <w:r w:rsidR="007F4033">
        <w:rPr>
          <w:sz w:val="24"/>
          <w:szCs w:val="24"/>
          <w:lang w:val="en-US"/>
        </w:rPr>
        <w:t xml:space="preserve"> (including our </w:t>
      </w:r>
      <w:r w:rsidR="00371369">
        <w:rPr>
          <w:sz w:val="24"/>
          <w:szCs w:val="24"/>
          <w:lang w:val="en-US"/>
        </w:rPr>
        <w:t>international E</w:t>
      </w:r>
      <w:r w:rsidR="00FA3777">
        <w:rPr>
          <w:sz w:val="24"/>
          <w:szCs w:val="24"/>
          <w:lang w:val="en-US"/>
        </w:rPr>
        <w:t>G</w:t>
      </w:r>
      <w:r w:rsidR="00371369">
        <w:rPr>
          <w:sz w:val="24"/>
          <w:szCs w:val="24"/>
          <w:lang w:val="en-US"/>
        </w:rPr>
        <w:t xml:space="preserve">OGEN </w:t>
      </w:r>
      <w:r w:rsidR="007F4033">
        <w:rPr>
          <w:sz w:val="24"/>
          <w:szCs w:val="24"/>
          <w:lang w:val="en-US"/>
        </w:rPr>
        <w:t>m</w:t>
      </w:r>
      <w:r w:rsidR="00371369">
        <w:rPr>
          <w:sz w:val="24"/>
          <w:szCs w:val="24"/>
          <w:lang w:val="en-US"/>
        </w:rPr>
        <w:t xml:space="preserve">aster </w:t>
      </w:r>
      <w:r w:rsidR="007F4033">
        <w:rPr>
          <w:sz w:val="24"/>
          <w:szCs w:val="24"/>
          <w:lang w:val="en-US"/>
        </w:rPr>
        <w:t>p</w:t>
      </w:r>
      <w:r w:rsidR="00371369">
        <w:rPr>
          <w:sz w:val="24"/>
          <w:szCs w:val="24"/>
          <w:lang w:val="en-US"/>
        </w:rPr>
        <w:t>rogramme</w:t>
      </w:r>
      <w:r w:rsidR="007F4033">
        <w:rPr>
          <w:sz w:val="24"/>
          <w:szCs w:val="24"/>
          <w:lang w:val="en-US"/>
        </w:rPr>
        <w:t>) and d</w:t>
      </w:r>
      <w:r w:rsidR="00371369" w:rsidRPr="00371369">
        <w:rPr>
          <w:sz w:val="24"/>
          <w:szCs w:val="24"/>
          <w:lang w:val="en-US"/>
        </w:rPr>
        <w:t>octoral degree programme</w:t>
      </w:r>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has </w:t>
      </w:r>
      <w:r w:rsidR="007F4033">
        <w:rPr>
          <w:sz w:val="24"/>
          <w:szCs w:val="24"/>
          <w:lang w:val="en-US"/>
        </w:rPr>
        <w:t xml:space="preserve">their own superiors as well as technical staff of the RU. </w:t>
      </w:r>
      <w:bookmarkEnd w:id="1"/>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r w:rsidR="00556F5A">
        <w:rPr>
          <w:sz w:val="24"/>
          <w:szCs w:val="24"/>
          <w:lang w:val="en-US"/>
        </w:rPr>
        <w:t>joint professor</w:t>
      </w:r>
      <w:r w:rsidR="00793C8C">
        <w:rPr>
          <w:sz w:val="24"/>
          <w:szCs w:val="24"/>
          <w:lang w:val="en-US"/>
        </w:rPr>
        <w:t>s</w:t>
      </w:r>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Krunnit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2DF26454" w:rsidR="00314FDF" w:rsidRPr="00314FDF" w:rsidRDefault="00C24896" w:rsidP="00314FDF">
      <w:pPr>
        <w:rPr>
          <w:sz w:val="24"/>
          <w:szCs w:val="24"/>
          <w:lang w:val="en-US"/>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Finnish Biodiversity Information Facility FinBIF</w:t>
      </w:r>
      <w:r>
        <w:rPr>
          <w:sz w:val="24"/>
          <w:lang w:val="en-US"/>
        </w:rPr>
        <w:t xml:space="preserve">, which is </w:t>
      </w:r>
      <w:r w:rsidRPr="00C24896">
        <w:rPr>
          <w:sz w:val="24"/>
          <w:lang w:val="en-US"/>
        </w:rPr>
        <w:t>accelerat</w:t>
      </w:r>
      <w:r>
        <w:rPr>
          <w:sz w:val="24"/>
          <w:lang w:val="en-US"/>
        </w:rPr>
        <w:t>ing</w:t>
      </w:r>
      <w:r w:rsidRPr="00C24896">
        <w:rPr>
          <w:sz w:val="24"/>
          <w:lang w:val="en-US"/>
        </w:rPr>
        <w:t xml:space="preserve"> the digitisation, mobilisation,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r w:rsidR="008C5C8D">
        <w:rPr>
          <w:sz w:val="24"/>
          <w:lang w:val="en-US"/>
        </w:rPr>
        <w:t xml:space="preserve">FinBIF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(iBOL)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RU.</w:t>
      </w:r>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2"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mentioned RUs</w:t>
      </w:r>
      <w:r w:rsidRPr="007A624D">
        <w:rPr>
          <w:sz w:val="24"/>
          <w:szCs w:val="24"/>
          <w:lang w:val="en-GB"/>
        </w:rPr>
        <w:t>.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2"/>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List the RU’s other major academic achievements (e.g. Academy of Finland Flagship and Centres of Excellence, and Academy professors, ERC- and other major EU-funded projects, patents, major awards, open access data, reagents, software, intellectual property and datasets, tasks in national and international academic boards).</w:t>
      </w:r>
    </w:p>
    <w:p w14:paraId="17C2708D" w14:textId="536D8C56" w:rsidR="0093536B" w:rsidRPr="0093536B" w:rsidRDefault="001B5BF6" w:rsidP="0093536B">
      <w:pPr>
        <w:rPr>
          <w:sz w:val="24"/>
          <w:lang w:val="en-US"/>
        </w:rPr>
      </w:pPr>
      <w:r>
        <w:rPr>
          <w:sz w:val="24"/>
          <w:lang w:val="en-US"/>
        </w:rPr>
        <w:t>The unit has had only 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 </w:t>
      </w:r>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r w:rsidR="008214B6">
        <w:rPr>
          <w:sz w:val="24"/>
          <w:lang w:val="en-US"/>
        </w:rPr>
        <w:t>r.g. Academy of Finland,</w:t>
      </w:r>
      <w:r w:rsidR="00290060">
        <w:rPr>
          <w:sz w:val="24"/>
          <w:lang w:val="en-US"/>
        </w:rPr>
        <w:t xml:space="preserve"> </w:t>
      </w:r>
      <w:r w:rsidR="008214B6">
        <w:rPr>
          <w:sz w:val="24"/>
          <w:lang w:val="en-US"/>
        </w:rPr>
        <w:t xml:space="preserve">  ) </w:t>
      </w:r>
      <w:r w:rsidR="00167710">
        <w:rPr>
          <w:sz w:val="24"/>
          <w:lang w:val="en-US"/>
        </w:rPr>
        <w:t xml:space="preserve">….. </w:t>
      </w:r>
      <w:r w:rsidR="008214B6">
        <w:rPr>
          <w:sz w:val="24"/>
          <w:lang w:val="en-US"/>
        </w:rPr>
        <w:t>and editorial boards of scientific journals (e.g. Genetics, Journal of Evolutionary Biology, g3</w:t>
      </w:r>
      <w:r w:rsidR="008214B6" w:rsidRPr="008214B6">
        <w:rPr>
          <w:color w:val="FF0000"/>
          <w:sz w:val="24"/>
          <w:lang w:val="en-US"/>
        </w:rPr>
        <w:t xml:space="preserve">, more here please). </w:t>
      </w:r>
      <w:r w:rsidR="00167710" w:rsidRPr="008214B6">
        <w:rPr>
          <w:color w:val="FF0000"/>
          <w:sz w:val="24"/>
          <w:lang w:val="en-US"/>
        </w:rPr>
        <w:t xml:space="preserve"> </w:t>
      </w:r>
      <w:r w:rsidR="00167710">
        <w:rPr>
          <w:sz w:val="24"/>
          <w:lang w:val="en-US"/>
        </w:rPr>
        <w:t>RU staff have s</w:t>
      </w:r>
      <w:r w:rsidR="00247D4F">
        <w:rPr>
          <w:sz w:val="24"/>
          <w:lang w:val="en-US"/>
        </w:rPr>
        <w:t>ix patents or patent applications related to development and us</w:t>
      </w:r>
      <w:r w:rsidR="00167710">
        <w:rPr>
          <w:sz w:val="24"/>
          <w:lang w:val="en-US"/>
        </w:rPr>
        <w:t>age</w:t>
      </w:r>
      <w:r w:rsidR="00247D4F">
        <w:rPr>
          <w:sz w:val="24"/>
          <w:lang w:val="en-US"/>
        </w:rPr>
        <w:t xml:space="preserve"> of antimicrobial peptides (AM Pirt</w:t>
      </w:r>
      <w:r w:rsidR="00167710">
        <w:rPr>
          <w:sz w:val="24"/>
          <w:lang w:val="en-US"/>
        </w:rPr>
        <w:t>tilä</w:t>
      </w:r>
      <w:r w:rsidR="00247D4F">
        <w:rPr>
          <w:sz w:val="24"/>
          <w:lang w:val="en-US"/>
        </w:rPr>
        <w:t>)</w:t>
      </w:r>
      <w:r w:rsidR="00167710">
        <w:rPr>
          <w:sz w:val="24"/>
          <w:lang w:val="en-US"/>
        </w:rPr>
        <w:t>.</w:t>
      </w:r>
    </w:p>
    <w:p w14:paraId="0A085692" w14:textId="5103A4B6" w:rsidR="0093536B" w:rsidRPr="008E76FC" w:rsidRDefault="0093536B" w:rsidP="00247D4F">
      <w:pPr>
        <w:rPr>
          <w:sz w:val="24"/>
          <w:lang w:val="en-US"/>
        </w:rPr>
      </w:pPr>
      <w:r w:rsidRPr="0093536B">
        <w:rPr>
          <w:sz w:val="24"/>
          <w:lang w:val="en-US"/>
        </w:rPr>
        <w:t>-</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20AFA816"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C4B0DC2" w14:textId="1201228A" w:rsidR="00072E03" w:rsidRDefault="00416C8D" w:rsidP="006C3E88">
      <w:pPr>
        <w:pStyle w:val="Heading4RAE2020Style"/>
        <w:numPr>
          <w:ilvl w:val="0"/>
          <w:numId w:val="0"/>
        </w:numPr>
        <w:spacing w:line="276" w:lineRule="auto"/>
        <w:rPr>
          <w:b w:val="0"/>
        </w:rPr>
      </w:pPr>
      <w:r w:rsidRPr="00416C8D">
        <w:rPr>
          <w:b w:val="0"/>
        </w:rPr>
        <w:t xml:space="preserve">Our research has revealed a completely new endosymbiosis in plant meristems (Pirttilä et al. 2001) and, so far, no other group is studying them in detail. Our data has revealed that these intracellular symbionts may directly manipulate host functions through eukaryotic transcription factors in plant meristems (Koskimäki et al. 2015). We have demonstrated a new defense mechanism in bacteria against oxidative stress based </w:t>
      </w:r>
      <w:r w:rsidRPr="00416C8D">
        <w:rPr>
          <w:b w:val="0"/>
        </w:rPr>
        <w:lastRenderedPageBreak/>
        <w:t>on polyhydroxybutyrate (PHB), which was previosly known only as the bacterial carbon reserve (Koskimäki et al. 2016). Our findings have drastically changed the understanding of bacterial physiology on PHB (Koskimäki et al. 2016, Müller-Santos et al. 2020). We have identified potent antioxidative compouds, oligomers of 3-hydroxybutyrate, from the endosymbionts that have activity towards hydroxyl radicals (Koskimäki et al. 2016) and are under development as drugs for eye diseases.</w:t>
      </w:r>
      <w:r>
        <w:rPr>
          <w:b w:val="0"/>
        </w:rPr>
        <w:t xml:space="preserve"> </w:t>
      </w:r>
    </w:p>
    <w:p w14:paraId="5096CE57" w14:textId="22F9EFC1" w:rsidR="007E3FEC" w:rsidRPr="007E3FEC" w:rsidRDefault="007E3FEC" w:rsidP="007E3FEC">
      <w:pPr>
        <w:rPr>
          <w:lang w:val="en-US"/>
        </w:rPr>
      </w:pPr>
      <w:r w:rsidRPr="007E3FEC">
        <w:rPr>
          <w:highlight w:val="yellow"/>
          <w:lang w:val="en-US"/>
        </w:rPr>
        <w:t>More achievements here</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656CDFF0" w14:textId="51A0328D" w:rsidR="0093536B" w:rsidRPr="0093536B" w:rsidRDefault="00416C8D" w:rsidP="0093536B">
      <w:pPr>
        <w:spacing w:after="0" w:line="276" w:lineRule="auto"/>
        <w:rPr>
          <w:sz w:val="24"/>
          <w:lang w:val="en-US"/>
        </w:rPr>
      </w:pPr>
      <w:r w:rsidRPr="00416C8D">
        <w:rPr>
          <w:sz w:val="24"/>
          <w:lang w:val="en-US"/>
        </w:rPr>
        <w:t xml:space="preserve">We are using several online platforms such as ResearchGate, LinkedIn, Facebook, </w:t>
      </w:r>
      <w:r>
        <w:rPr>
          <w:sz w:val="24"/>
          <w:lang w:val="en-US"/>
        </w:rPr>
        <w:t xml:space="preserve">Youtube </w:t>
      </w:r>
      <w:r w:rsidRPr="00416C8D">
        <w:rPr>
          <w:sz w:val="24"/>
          <w:lang w:val="en-US"/>
        </w:rPr>
        <w:t>and Twitter to advertise our research. We are also participating in University of Oulu media events (e.g. Tellus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r w:rsidR="004E7B03">
        <w:rPr>
          <w:sz w:val="24"/>
          <w:lang w:val="en-US"/>
        </w:rPr>
        <w:t>Ötökkäakatemia</w:t>
      </w:r>
      <w:r w:rsidR="00DD23A3">
        <w:rPr>
          <w:sz w:val="24"/>
          <w:lang w:val="en-US"/>
        </w:rPr>
        <w:t>”</w:t>
      </w:r>
      <w:r w:rsidR="004E7B03">
        <w:rPr>
          <w:sz w:val="24"/>
          <w:lang w:val="en-US"/>
        </w:rPr>
        <w:t xml:space="preserve"> (Bug Academy</w:t>
      </w:r>
      <w:r w:rsidR="005A3959">
        <w:rPr>
          <w:sz w:val="24"/>
          <w:lang w:val="en-US"/>
        </w:rPr>
        <w:t>; 2018-2020, funded by Tieteen tiedotus</w:t>
      </w:r>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faeces). The researchers have </w:t>
      </w:r>
      <w:r w:rsidR="00FF4CB8">
        <w:rPr>
          <w:sz w:val="24"/>
          <w:lang w:val="en-US"/>
        </w:rPr>
        <w:t>participated writing some of the management plans of several endangered species (e.g. wolf, wolverine,),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Legislation protecting northern rivers and preventing transmission of fish from their home waters has been implemented as a result of research on salmon parasites</w:t>
      </w:r>
      <w:r w:rsidR="00061A96">
        <w:rPr>
          <w:sz w:val="24"/>
          <w:lang w:val="en-US"/>
        </w:rPr>
        <w:t xml:space="preserve">. </w:t>
      </w:r>
      <w:r w:rsidR="00061A96" w:rsidRPr="00061A96">
        <w:rPr>
          <w:sz w:val="24"/>
          <w:lang w:val="en-US"/>
        </w:rPr>
        <w:t>Conservation of the lesser white-fronted goose has been modified as a result of the research from this unit.</w:t>
      </w:r>
    </w:p>
    <w:p w14:paraId="1CD7F30D" w14:textId="6F388BAE" w:rsidR="0093536B" w:rsidRPr="0093536B" w:rsidRDefault="0093536B" w:rsidP="0093536B">
      <w:pPr>
        <w:spacing w:after="0" w:line="276" w:lineRule="auto"/>
        <w:rPr>
          <w:sz w:val="24"/>
          <w:lang w:val="en-US"/>
        </w:rPr>
      </w:pPr>
      <w:r w:rsidRPr="0093536B">
        <w:rPr>
          <w:sz w:val="24"/>
          <w:lang w:val="en-US"/>
        </w:rPr>
        <w:t xml:space="preserve">The productivity in modern farming relies on a heavy use of chemical pesticides and fertilizers. However, there is an increased global concern on pollution by inorganic residuals and synthetic plant protection compounds on human and animal health. Therefore alternatives, such as microbial growth promotion and biocontrol agents, are desperately needed. We expect that the endosymbionts of plant meristems provide more persistent and reliable benefits to the crop plants compared to rhizobacteria or apoplastic endophytes that are currently in use. Therefore, we have strong expectations that the meristem endosymbionts will prove significant new biotechnological tools for improving plant growth and health in agriculture naturally. </w:t>
      </w:r>
    </w:p>
    <w:p w14:paraId="2DFCFC92" w14:textId="7CEB701A" w:rsidR="00FF4CB8" w:rsidRPr="00B07CD8" w:rsidRDefault="0093536B" w:rsidP="0093536B">
      <w:pPr>
        <w:spacing w:after="0" w:line="276" w:lineRule="auto"/>
        <w:rPr>
          <w:sz w:val="24"/>
          <w:lang w:val="en-US"/>
        </w:rPr>
      </w:pPr>
      <w:r w:rsidRPr="0093536B">
        <w:rPr>
          <w:sz w:val="24"/>
          <w:lang w:val="en-US"/>
        </w:rPr>
        <w:t>We have also applied data obtained from plant-microbe interactions to other fields of science, such as medicine. From plant-associated microbes, we have identified antimicrobial peptides (Tejesvi et al. 2016) 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Furthermore, many human pathogens have the capacity for PHB synthesis and create persistent intracellular infections. Knowledge on PHB significance in intracellular infection can provide new targets for antibacterial therapies (Müller-Santos et al. 2020).</w:t>
      </w:r>
    </w:p>
    <w:p w14:paraId="4F883F3A" w14:textId="561A2655" w:rsidR="00806486" w:rsidRPr="00290060" w:rsidRDefault="00102907" w:rsidP="00806486">
      <w:pPr>
        <w:rPr>
          <w:color w:val="FF0000"/>
          <w:lang w:val="en-US"/>
        </w:rPr>
      </w:pPr>
      <w:r w:rsidRPr="00290060">
        <w:rPr>
          <w:color w:val="FF0000"/>
          <w:highlight w:val="lightGray"/>
          <w:lang w:val="en-US"/>
        </w:rPr>
        <w:t>Should be shortened</w:t>
      </w:r>
      <w:r w:rsidRPr="00290060">
        <w:rPr>
          <w:color w:val="FF0000"/>
          <w:lang w:val="en-US"/>
        </w:rPr>
        <w:t xml:space="preserve"> </w:t>
      </w:r>
    </w:p>
    <w:p w14:paraId="2E2F12FD" w14:textId="77777777" w:rsidR="00806486" w:rsidRPr="0087764C" w:rsidRDefault="00806486" w:rsidP="00E80AB9">
      <w:pPr>
        <w:pStyle w:val="Heading1RAE2020Style"/>
        <w:shd w:val="clear" w:color="auto" w:fill="FFF2CC" w:themeFill="accent4" w:themeFillTint="33"/>
      </w:pPr>
      <w:r w:rsidRPr="0087764C">
        <w:lastRenderedPageBreak/>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1D58C031"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(111 in W</w:t>
      </w:r>
      <w:r w:rsidR="00102907">
        <w:rPr>
          <w:sz w:val="24"/>
          <w:lang w:val="en-GB"/>
        </w:rPr>
        <w:t>o</w:t>
      </w:r>
      <w:r w:rsidR="00477809">
        <w:rPr>
          <w:sz w:val="24"/>
          <w:lang w:val="en-GB"/>
        </w:rPr>
        <w:t xml:space="preserve">S)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(91 in W</w:t>
      </w:r>
      <w:r w:rsidR="00102907">
        <w:rPr>
          <w:sz w:val="24"/>
          <w:lang w:val="en-GB"/>
        </w:rPr>
        <w:t>o</w:t>
      </w:r>
      <w:r w:rsidR="00477809">
        <w:rPr>
          <w:sz w:val="24"/>
          <w:lang w:val="en-GB"/>
        </w:rPr>
        <w:t xml:space="preserve">S)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publications.</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[fract]</w:t>
      </w:r>
      <w:r w:rsidR="00BD553B">
        <w:rPr>
          <w:sz w:val="24"/>
          <w:lang w:val="en-GB"/>
        </w:rPr>
        <w:t>) of the RU has been 1.16, which is clearly higher than w</w:t>
      </w:r>
      <w:r w:rsidR="000F3461">
        <w:rPr>
          <w:sz w:val="24"/>
          <w:lang w:val="en-GB"/>
        </w:rPr>
        <w:t>r</w:t>
      </w:r>
      <w:r w:rsidR="00BD553B">
        <w:rPr>
          <w:sz w:val="24"/>
          <w:lang w:val="en-GB"/>
        </w:rPr>
        <w:t>old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PP [top10%, fract]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(MN</w:t>
      </w:r>
      <w:r w:rsidR="000A5FE5">
        <w:rPr>
          <w:sz w:val="24"/>
          <w:lang w:val="en-GB"/>
        </w:rPr>
        <w:t>j</w:t>
      </w:r>
      <w:r w:rsidR="000A5FE5" w:rsidRPr="000A5FE5">
        <w:rPr>
          <w:sz w:val="24"/>
          <w:lang w:val="en-GB"/>
        </w:rPr>
        <w:t>S [fract])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Describe the RU’s current strategy for obtaining external research funding and the current overall funding situation. What are the RU’s plans to secure a sufficient level of external funding in the future</w:t>
      </w:r>
    </w:p>
    <w:p w14:paraId="0DA788A9" w14:textId="1F15FA9A"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r>
        <w:rPr>
          <w:sz w:val="24"/>
          <w:lang w:val="en-US"/>
        </w:rPr>
        <w:t>RU</w:t>
      </w:r>
      <w:r w:rsidR="00414C5A">
        <w:rPr>
          <w:sz w:val="24"/>
          <w:lang w:val="en-US"/>
        </w:rPr>
        <w:t xml:space="preserve">t; the unit </w:t>
      </w:r>
      <w:r w:rsidR="00414C5A">
        <w:rPr>
          <w:sz w:val="24"/>
          <w:lang w:val="en-US"/>
        </w:rPr>
        <w:lastRenderedPageBreak/>
        <w:t xml:space="preserve">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 EU funding. T</w:t>
      </w:r>
      <w:r w:rsidR="00B6030D" w:rsidRPr="00E739D9">
        <w:rPr>
          <w:sz w:val="24"/>
          <w:lang w:val="en-US"/>
        </w:rPr>
        <w:t>he reason for this is not clear</w:t>
      </w:r>
      <w:r w:rsidR="00B6030D">
        <w:rPr>
          <w:sz w:val="24"/>
          <w:lang w:val="en-US"/>
        </w:rPr>
        <w:t>;</w:t>
      </w:r>
      <w:r w:rsidR="00B6030D" w:rsidRPr="00E739D9">
        <w:rPr>
          <w:sz w:val="24"/>
          <w:lang w:val="en-US"/>
        </w:rPr>
        <w:t xml:space="preserve"> it </w:t>
      </w:r>
      <w:r w:rsidR="00B6030D">
        <w:rPr>
          <w:sz w:val="24"/>
          <w:lang w:val="en-US"/>
        </w:rPr>
        <w:t>is possible</w:t>
      </w:r>
      <w:r w:rsidR="00B6030D" w:rsidRPr="00E739D9">
        <w:rPr>
          <w:sz w:val="24"/>
          <w:lang w:val="en-US"/>
        </w:rPr>
        <w:t xml:space="preserve"> the staff does not quite see how their research matches EU calls.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73C3647D" w14:textId="4754E923" w:rsidR="00993E7D" w:rsidRDefault="007E3FEC" w:rsidP="00BE7ACD">
      <w:pPr>
        <w:spacing w:line="276" w:lineRule="auto"/>
        <w:rPr>
          <w:sz w:val="24"/>
          <w:lang w:val="en-US"/>
        </w:rPr>
      </w:pPr>
      <w:r>
        <w:rPr>
          <w:sz w:val="24"/>
          <w:lang w:val="en-US"/>
        </w:rPr>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r w:rsidR="00771EC3">
        <w:rPr>
          <w:sz w:val="24"/>
          <w:lang w:val="en-US"/>
        </w:rPr>
        <w:t xml:space="preserve">Jyväskylä, Eastern-Finland and Turku.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Umeå, Lund, Trondheim, Copenhagen, Oslo</w:t>
      </w:r>
      <w:r w:rsidR="00CD51F5" w:rsidRPr="00CD51F5">
        <w:rPr>
          <w:sz w:val="24"/>
          <w:highlight w:val="green"/>
          <w:lang w:val="en-US"/>
        </w:rPr>
        <w:t>…</w:t>
      </w:r>
      <w:r w:rsidR="00CD51F5">
        <w:rPr>
          <w:sz w:val="24"/>
          <w:lang w:val="en-US"/>
        </w:rPr>
        <w:t>.</w:t>
      </w:r>
      <w:r w:rsidR="00140CED">
        <w:rPr>
          <w:sz w:val="24"/>
          <w:lang w:val="en-US"/>
        </w:rPr>
        <w:t xml:space="preserve"> ) and other European countries</w:t>
      </w:r>
      <w:r w:rsidR="00CD51F5">
        <w:rPr>
          <w:sz w:val="24"/>
          <w:lang w:val="en-US"/>
        </w:rPr>
        <w:t>,</w:t>
      </w:r>
      <w:r w:rsidR="00140CED">
        <w:rPr>
          <w:sz w:val="24"/>
          <w:lang w:val="en-US"/>
        </w:rPr>
        <w:t xml:space="preserve"> (</w:t>
      </w:r>
      <w:r w:rsidR="00CD7B06">
        <w:rPr>
          <w:sz w:val="24"/>
          <w:lang w:val="en-US"/>
        </w:rPr>
        <w:t>Cardiff, Madrid</w:t>
      </w:r>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 etc.), Australian (Monash) and Asian (Hokkaido, Wildlife Institute of India</w:t>
      </w:r>
      <w:r w:rsidR="000903B6">
        <w:rPr>
          <w:sz w:val="24"/>
          <w:lang w:val="en-US"/>
        </w:rPr>
        <w:t>, Tatarstan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Joint funding applications are made with collaborators and joint publications are written based on successful research project results. Collaborators are contacted and maintained through visits to labs, participation in national and international conferences, workshops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4B676932" w:rsidR="00771EC3" w:rsidRPr="00771EC3" w:rsidRDefault="0082786A" w:rsidP="00B152DA">
      <w:pPr>
        <w:rPr>
          <w:lang w:val="en-US"/>
        </w:rPr>
      </w:pPr>
      <w:r>
        <w:rPr>
          <w:lang w:val="en-US"/>
        </w:rPr>
        <w:t xml:space="preserve">The RU has collaboration with </w:t>
      </w:r>
      <w:r w:rsidR="00314FDF">
        <w:rPr>
          <w:lang w:val="en-US"/>
        </w:rPr>
        <w:t>many other Rus in University of Oulu.</w:t>
      </w:r>
      <w:r w:rsidR="000903B6">
        <w:rPr>
          <w:lang w:val="en-US"/>
        </w:rPr>
        <w:t xml:space="preserve"> Most active collaboration </w:t>
      </w:r>
      <w:r w:rsidR="00AE6B91">
        <w:rPr>
          <w:lang w:val="en-US"/>
        </w:rPr>
        <w:t xml:space="preserve">is </w:t>
      </w:r>
      <w:r w:rsidR="000903B6">
        <w:rPr>
          <w:lang w:val="en-US"/>
        </w:rPr>
        <w:t xml:space="preserve">with RUs of Geography, </w:t>
      </w:r>
      <w:r w:rsidR="00B152DA" w:rsidRPr="00B152DA">
        <w:rPr>
          <w:lang w:val="en-US"/>
        </w:rPr>
        <w:t>Research Unit of History, Culture and Communications</w:t>
      </w:r>
      <w:r w:rsidR="00B152DA">
        <w:rPr>
          <w:lang w:val="en-US"/>
        </w:rPr>
        <w:t xml:space="preserve">, </w:t>
      </w:r>
      <w:r w:rsidR="00B152DA" w:rsidRPr="00B152DA">
        <w:rPr>
          <w:lang w:val="en-US"/>
        </w:rPr>
        <w:t>Research Unit of Mathematical Sciences</w:t>
      </w:r>
      <w:r w:rsidR="00B152DA" w:rsidRPr="00AE6B91">
        <w:rPr>
          <w:color w:val="FF0000"/>
          <w:lang w:val="en-US"/>
        </w:rPr>
        <w:t>…</w:t>
      </w:r>
    </w:p>
    <w:p w14:paraId="41345DC5" w14:textId="0810116F" w:rsidR="008F2B54" w:rsidRPr="00B07CD8" w:rsidRDefault="00CE79BA" w:rsidP="00771EC3">
      <w:pPr>
        <w:rPr>
          <w:sz w:val="24"/>
          <w:lang w:val="en-US"/>
        </w:rPr>
      </w:pPr>
      <w:r w:rsidRPr="00314FDF">
        <w:rPr>
          <w:sz w:val="24"/>
          <w:lang w:val="en-US"/>
        </w:rPr>
        <w:t>There is</w:t>
      </w:r>
      <w:r w:rsidR="00314FDF">
        <w:rPr>
          <w:sz w:val="24"/>
          <w:lang w:val="en-US"/>
        </w:rPr>
        <w:t xml:space="preserve"> also</w:t>
      </w:r>
      <w:r w:rsidRPr="00314FDF">
        <w:rPr>
          <w:sz w:val="24"/>
          <w:lang w:val="en-US"/>
        </w:rPr>
        <w:t xml:space="preserve"> a</w:t>
      </w:r>
      <w:r w:rsidRPr="00CE79BA">
        <w:rPr>
          <w:sz w:val="24"/>
          <w:lang w:val="en-US"/>
        </w:rPr>
        <w:t xml:space="preserve"> strong tradition of interdisciplinarity</w:t>
      </w:r>
      <w:r w:rsidR="00771EC3">
        <w:rPr>
          <w:sz w:val="24"/>
          <w:lang w:val="en-US"/>
        </w:rPr>
        <w:t xml:space="preserve"> within the RU</w:t>
      </w:r>
      <w:r w:rsidR="00314FDF">
        <w:rPr>
          <w:sz w:val="24"/>
          <w:lang w:val="en-US"/>
        </w:rPr>
        <w:t>. Almost all research gr</w:t>
      </w:r>
      <w:r w:rsidR="000903B6">
        <w:rPr>
          <w:sz w:val="24"/>
          <w:lang w:val="en-US"/>
        </w:rPr>
        <w:t>o</w:t>
      </w:r>
      <w:r w:rsidR="00314FDF">
        <w:rPr>
          <w:sz w:val="24"/>
          <w:lang w:val="en-US"/>
        </w:rPr>
        <w:t xml:space="preserve">ups within RU have some collaboration </w:t>
      </w:r>
      <w:r w:rsidR="00771EC3">
        <w:rPr>
          <w:sz w:val="24"/>
          <w:lang w:val="en-US"/>
        </w:rPr>
        <w:t xml:space="preserve">which significantly </w:t>
      </w:r>
      <w:r w:rsidR="000903B6">
        <w:rPr>
          <w:sz w:val="24"/>
          <w:lang w:val="en-US"/>
        </w:rPr>
        <w:t>strengthens</w:t>
      </w:r>
      <w:r w:rsidR="00771EC3">
        <w:rPr>
          <w:sz w:val="24"/>
          <w:lang w:val="en-US"/>
        </w:rPr>
        <w:t xml:space="preserve"> the quality of research conducted in the RU. </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are the RU’s most important collaboration partners outside academia (e.g. companies, municipalities, hospitals)? How is the RU currently working to establish and maintain such collaboration and networks? How does </w:t>
      </w:r>
      <w:r w:rsidRPr="00807D19">
        <w:rPr>
          <w:i/>
          <w:iCs/>
          <w:highlight w:val="green"/>
          <w:lang w:val="en-US"/>
        </w:rPr>
        <w:lastRenderedPageBreak/>
        <w:t>the RU realize wider dissemination of research results to the rest of society? What are the RU’s current approaches to stimulate public outreach activities/knowledge utilization/innovation? How will the RU develop these activities further?</w:t>
      </w:r>
    </w:p>
    <w:p w14:paraId="49BD64EF" w14:textId="1D8F12A3" w:rsidR="00634785" w:rsidRPr="00634785" w:rsidRDefault="0044609B" w:rsidP="00634785">
      <w:pPr>
        <w:spacing w:after="0" w:line="276" w:lineRule="auto"/>
        <w:rPr>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Chain Antimicobials Ltd (producing antimicrobial </w:t>
      </w:r>
      <w:r w:rsidR="000903B6">
        <w:rPr>
          <w:lang w:val="en-US"/>
        </w:rPr>
        <w:t xml:space="preserve">peptide </w:t>
      </w:r>
      <w:r w:rsidRPr="003F5D3C">
        <w:rPr>
          <w:lang w:val="en-US"/>
        </w:rPr>
        <w:t>coated catheters to prevent HAIs)</w:t>
      </w:r>
      <w:r w:rsidR="000C3EF1">
        <w:rPr>
          <w:lang w:val="en-US"/>
        </w:rPr>
        <w:t xml:space="preserve">, </w:t>
      </w:r>
      <w:r w:rsidRPr="003F5D3C">
        <w:rPr>
          <w:lang w:val="en-US"/>
        </w:rPr>
        <w:t>Entoprot Ltd (producing insect bioreactors) and Valkee Ltd (producing HumanCharger Wireless Headset).</w:t>
      </w:r>
      <w:r>
        <w:rPr>
          <w:lang w:val="en-US"/>
        </w:rPr>
        <w:t xml:space="preserve"> </w:t>
      </w:r>
      <w:r w:rsidRPr="0044609B">
        <w:rPr>
          <w:lang w:val="en-US"/>
        </w:rPr>
        <w:t xml:space="preserve">We have also had J. Lahdenperä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r w:rsidR="000903B6">
        <w:rPr>
          <w:lang w:val="en-US"/>
        </w:rPr>
        <w:t xml:space="preserve">We have active collaboration with </w:t>
      </w:r>
      <w:r w:rsidR="00634785" w:rsidRPr="00634785">
        <w:rPr>
          <w:lang w:val="en-US"/>
        </w:rPr>
        <w:t>Oulu Horse Hospital, Hippos</w:t>
      </w:r>
      <w:r w:rsidR="00C74B52">
        <w:rPr>
          <w:lang w:val="en-US"/>
        </w:rPr>
        <w:t xml:space="preserve"> and </w:t>
      </w:r>
      <w:r w:rsidR="00634785">
        <w:rPr>
          <w:lang w:val="en-US"/>
        </w:rPr>
        <w:t xml:space="preserve"> </w:t>
      </w:r>
      <w:r w:rsidR="00634785" w:rsidRPr="00634785">
        <w:rPr>
          <w:lang w:val="en-US"/>
        </w:rPr>
        <w:t>Hunting organisations</w:t>
      </w:r>
      <w:r w:rsidR="00634785">
        <w:rPr>
          <w:lang w:val="en-US"/>
        </w:rPr>
        <w:t xml:space="preserve">, </w:t>
      </w:r>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60D22EF" w14:textId="74B47541" w:rsidR="00123C79" w:rsidRDefault="008A069E" w:rsidP="00DD2AD1">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 xml:space="preserve">he RU has </w:t>
      </w:r>
      <w:r w:rsidR="00123C79">
        <w:rPr>
          <w:sz w:val="24"/>
          <w:lang w:val="en-US"/>
        </w:rPr>
        <w:t xml:space="preserve">currently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r w:rsidR="00DD2AD1" w:rsidRPr="00DD2AD1">
        <w:rPr>
          <w:sz w:val="24"/>
          <w:lang w:val="en-US"/>
        </w:rPr>
        <w:t>Biocenter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Biocenter Sequencing Center</w:t>
      </w:r>
      <w:r w:rsidR="00EF65A2">
        <w:rPr>
          <w:sz w:val="24"/>
          <w:lang w:val="en-US"/>
        </w:rPr>
        <w:t xml:space="preserve"> (</w:t>
      </w:r>
      <w:r w:rsidR="00EF65A2" w:rsidRPr="00BD56C4">
        <w:rPr>
          <w:sz w:val="24"/>
          <w:lang w:val="en-US"/>
        </w:rPr>
        <w:t>including an Illumina NextSeq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r w:rsidRPr="00BD56C4">
        <w:rPr>
          <w:sz w:val="24"/>
          <w:lang w:val="en-US"/>
        </w:rPr>
        <w:t>Oulanka Research Station and Krunni</w:t>
      </w:r>
      <w:r>
        <w:rPr>
          <w:sz w:val="24"/>
          <w:lang w:val="en-US"/>
        </w:rPr>
        <w:t>t</w:t>
      </w:r>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he 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p>
    <w:p w14:paraId="6690E94E" w14:textId="08D36AAF" w:rsidR="00680F6B" w:rsidRDefault="00CF5DA2" w:rsidP="00072E03">
      <w:pPr>
        <w:pStyle w:val="Heading2RAE2020Style"/>
        <w:spacing w:line="276" w:lineRule="auto"/>
      </w:pPr>
      <w:r w:rsidRPr="002326D1">
        <w:t>2.</w:t>
      </w:r>
      <w:r>
        <w:t>2</w:t>
      </w:r>
      <w:r w:rsidRPr="002326D1">
        <w:t xml:space="preserve">. </w:t>
      </w:r>
      <w:r>
        <w:t>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lastRenderedPageBreak/>
        <w:t>Describe how research leadership and communication is organized in the RU, including the roles of individual research group leaders, etc. Suggestions for strengthening research leadership?</w:t>
      </w:r>
    </w:p>
    <w:p w14:paraId="2132D416" w14:textId="18DD97A4"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14FFE02E" w:rsidR="0082786A" w:rsidRDefault="0082786A" w:rsidP="00072E03">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(ArcI 1</w:t>
      </w:r>
      <w:r w:rsidR="008C6305">
        <w:rPr>
          <w:sz w:val="24"/>
          <w:lang w:val="en-US"/>
        </w:rPr>
        <w:t xml:space="preserve"> Profi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xml:space="preserve">( </w:t>
      </w:r>
      <w:r w:rsidR="00072C70">
        <w:rPr>
          <w:sz w:val="24"/>
          <w:lang w:val="en-US"/>
        </w:rPr>
        <w:t>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3" w:name="_Hlk42764099"/>
      <w:r w:rsidRPr="00BB4EE1">
        <w:rPr>
          <w:highlight w:val="green"/>
          <w:lang w:val="en-US"/>
        </w:rPr>
        <w:t xml:space="preserve">Are internal career opportunities aimed at attracting and retaining talented researchers being offered? </w:t>
      </w:r>
      <w:bookmarkEnd w:id="3"/>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4"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EvolDir,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 xml:space="preserve">have </w:t>
      </w:r>
      <w:r w:rsidR="00357F9A">
        <w:rPr>
          <w:sz w:val="24"/>
          <w:lang w:val="en-US"/>
        </w:rPr>
        <w:lastRenderedPageBreak/>
        <w:t>been supported by the faculty or university levels</w:t>
      </w:r>
      <w:r w:rsidR="0093536B">
        <w:rPr>
          <w:sz w:val="24"/>
          <w:lang w:val="en-US"/>
        </w:rPr>
        <w:t xml:space="preserve"> (</w:t>
      </w:r>
      <w:r w:rsidR="004C739F">
        <w:rPr>
          <w:sz w:val="24"/>
          <w:lang w:val="en-US"/>
        </w:rPr>
        <w:t xml:space="preserve">via </w:t>
      </w:r>
      <w:r w:rsidR="0093536B">
        <w:rPr>
          <w:sz w:val="24"/>
          <w:lang w:val="en-US"/>
        </w:rPr>
        <w:t>Academy of Finland Profi-funding)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4"/>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3E4EF1F0" w:rsidR="00F0074C" w:rsidRPr="007E3FEC" w:rsidRDefault="00072C70" w:rsidP="009B0FF0">
      <w:pPr>
        <w:spacing w:line="276" w:lineRule="auto"/>
        <w:rPr>
          <w:sz w:val="24"/>
          <w:lang w:val="en-US"/>
        </w:rPr>
      </w:pPr>
      <w:r>
        <w:rPr>
          <w:sz w:val="24"/>
          <w:lang w:val="en-US"/>
        </w:rPr>
        <w:t xml:space="preserve">The RU actively promote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bookmarkStart w:id="5" w:name="_GoBack"/>
      <w:bookmarkEnd w:id="5"/>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Horizon 2020 - Marie Skłodowska-Curie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How are doctoral students recruited and selected in the RU? Describe the practices of agreeing onresearch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r w:rsidRPr="00F2646D">
        <w:rPr>
          <w:sz w:val="24"/>
          <w:szCs w:val="24"/>
          <w:lang w:val="en-US"/>
        </w:rPr>
        <w:t xml:space="preserve">The RU has about 50-60 PhD students yearly, of which about 10-15 graduate per year. Almost all students are members of existing research groups in the RU and have a significant role in performing both experimental and theoretical research. In addition, there are several PhD students that perform their </w:t>
      </w:r>
      <w:r w:rsidRPr="00F2646D">
        <w:rPr>
          <w:sz w:val="24"/>
          <w:szCs w:val="24"/>
          <w:lang w:val="en-US"/>
        </w:rPr>
        <w:lastRenderedPageBreak/>
        <w:t>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15DF1131" w14:textId="77777777" w:rsidR="00F2646D" w:rsidRPr="00F2646D" w:rsidRDefault="00F2646D" w:rsidP="00F2646D">
      <w:pPr>
        <w:spacing w:line="276" w:lineRule="auto"/>
        <w:rPr>
          <w:sz w:val="24"/>
          <w:lang w:val="en-US"/>
        </w:rPr>
      </w:pPr>
      <w:r w:rsidRPr="00F2646D">
        <w:rPr>
          <w:sz w:val="24"/>
          <w:lang w:val="en-US"/>
        </w:rPr>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are able to give teaching on the fields they are familiar with also in research. This makes it possible to give up-to-date expert teaching to the students on different levels and on several different fields of biology.</w:t>
      </w:r>
    </w:p>
    <w:p w14:paraId="550DF2F7" w14:textId="29A3307C" w:rsidR="00806486" w:rsidRPr="00073E8C" w:rsidRDefault="00F2646D" w:rsidP="00F2646D">
      <w:pPr>
        <w:spacing w:line="276" w:lineRule="auto"/>
        <w:rPr>
          <w:b/>
          <w:lang w:val="en-US"/>
        </w:rPr>
      </w:pPr>
      <w:r w:rsidRPr="00F2646D">
        <w:rPr>
          <w:sz w:val="24"/>
          <w:lang w:val="en-US"/>
        </w:rPr>
        <w:t>Further, many of the courses given to students have been constructed to teach the students to plan, and perform experiments and to analyze their research results.</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4EC8E004"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and Vipunen-Education statistics Finland database, especially the Top10-index</w:t>
      </w:r>
      <w:r w:rsidR="007B5101">
        <w:rPr>
          <w:sz w:val="24"/>
          <w:lang w:val="en-US"/>
        </w:rPr>
        <w:t xml:space="preserve">. This index has been </w:t>
      </w:r>
      <w:r w:rsidR="006E658B">
        <w:rPr>
          <w:sz w:val="24"/>
          <w:lang w:val="en-US"/>
        </w:rPr>
        <w:t xml:space="preserve">has been 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followed and yearly lists </w:t>
      </w:r>
      <w:r w:rsidR="00102907">
        <w:rPr>
          <w:sz w:val="24"/>
          <w:lang w:val="en-US"/>
        </w:rPr>
        <w:t xml:space="preserve">of them </w:t>
      </w:r>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6" w:name="_Hlk28870857"/>
      <w:r w:rsidRPr="00E549FF">
        <w:rPr>
          <w:sz w:val="24"/>
          <w:lang w:val="en-US"/>
        </w:rPr>
        <w:t>[Write here]</w:t>
      </w:r>
    </w:p>
    <w:bookmarkEnd w:id="6"/>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 xml:space="preserve">Describe the research strategy and evaluate the future research potential of the RU. Based on your answers to the guiding questions, list a maximum of five of the most important development targets in the research activity of the </w:t>
      </w:r>
      <w:r w:rsidRPr="0082786A">
        <w:rPr>
          <w:highlight w:val="green"/>
          <w:lang w:val="en-US"/>
        </w:rPr>
        <w:lastRenderedPageBreak/>
        <w:t>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7"/>
    <w:p w14:paraId="3CD5262E" w14:textId="72A5BDFB" w:rsidR="0082786A" w:rsidRPr="00C0746C" w:rsidRDefault="0082786A" w:rsidP="00AF409A">
      <w:pPr>
        <w:rPr>
          <w:color w:val="FF0000"/>
          <w:lang w:val="en-US"/>
        </w:rPr>
      </w:pPr>
      <w:r w:rsidRPr="00C0746C">
        <w:rPr>
          <w:color w:val="FF0000"/>
          <w:lang w:val="en-US"/>
        </w:rPr>
        <w:t>List a maximum of five of the most important development targets in the research activity of the RU:</w:t>
      </w:r>
    </w:p>
    <w:p w14:paraId="3C7EFDFE" w14:textId="77777777"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The main UN Sustainable Development Goal our research unit is responding to is Goal 15: LIfe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The majority of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ko rahoituksen odotetaan tuottavan… </w:t>
      </w:r>
    </w:p>
    <w:p w14:paraId="42B45178" w14:textId="77777777" w:rsidR="00C74B52" w:rsidRDefault="00C74B52" w:rsidP="00C74B52">
      <w:pPr>
        <w:pStyle w:val="NormalWeb"/>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w:t>
      </w:r>
      <w:r>
        <w:rPr>
          <w:rFonts w:ascii="Calibri" w:hAnsi="Calibri" w:cs="Calibri"/>
          <w:color w:val="000000" w:themeColor="text1"/>
          <w:lang w:val="en-US"/>
        </w:rPr>
        <w:lastRenderedPageBreak/>
        <w:t>bioenergy production may occur at the expense of conservation of biodiversity, pristine nature, ecosystem services and multiuse of nature (Kröger &amp; Raitio 2017).  Deforestation poses a major challenge to sustainable development, as forests are crucial for sustaining life on Earth and play a major role in climate change. By all tree cover thresholds, Finland has suffered from increased deforestation within the last decade (</w:t>
      </w:r>
      <w:hyperlink r:id="rId12" w:history="1">
        <w:r>
          <w:rPr>
            <w:rStyle w:val="Hyperlink"/>
            <w:rFonts w:ascii="Calibri" w:hAnsi="Calibri" w:cs="Calibri"/>
            <w:color w:val="000000" w:themeColor="text1"/>
            <w:lang w:val="en-US"/>
          </w:rPr>
          <w:t>https://rainforests.mongabay.com/deforestation/archive/Finland.htm</w:t>
        </w:r>
      </w:hyperlink>
      <w:r>
        <w:rPr>
          <w:rFonts w:ascii="Calibri" w:hAnsi="Calibri" w:cs="Calibri"/>
          <w:color w:val="000000" w:themeColor="text1"/>
          <w:lang w:val="en-US"/>
        </w:rPr>
        <w:t xml:space="preserve">, </w:t>
      </w:r>
      <w:hyperlink r:id="rId13" w:history="1">
        <w:r>
          <w:rPr>
            <w:rStyle w:val="Hyperlink"/>
            <w:rFonts w:ascii="Calibri" w:hAnsi="Calibri" w:cs="Calibri"/>
            <w:color w:val="000000" w:themeColor="text1"/>
            <w:lang w:val="en-US"/>
          </w:rPr>
          <w:t>https://www.endseurope.com/article/1664421/finland-accused-climate-double-standards-deforestation-talks</w:t>
        </w:r>
      </w:hyperlink>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Tms…??</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waste water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(tähän tarvittaisiin muiden panostusta)</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506DA4A5" w14:textId="77777777" w:rsidR="00C74B52" w:rsidRDefault="00C74B52" w:rsidP="00C74B52">
      <w:pPr>
        <w:rPr>
          <w:rFonts w:ascii="Calibri" w:eastAsia="Times New Roman" w:hAnsi="Calibri" w:cs="Calibri"/>
          <w:color w:val="000000"/>
          <w:lang w:val="en-US" w:eastAsia="fi-FI"/>
        </w:rPr>
      </w:pPr>
    </w:p>
    <w:p w14:paraId="19523379" w14:textId="77777777" w:rsidR="00C74B52" w:rsidRDefault="00C74B52" w:rsidP="00C74B52">
      <w:pPr>
        <w:rPr>
          <w:sz w:val="24"/>
          <w:szCs w:val="24"/>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8"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8"/>
    </w:p>
    <w:sectPr w:rsidR="00F30ADB" w:rsidRPr="0096789B" w:rsidSect="00403094">
      <w:headerReference w:type="default" r:id="rId14"/>
      <w:footerReference w:type="even" r:id="rId15"/>
      <w:footerReference w:type="default" r:id="rId16"/>
      <w:pgSz w:w="11906" w:h="16838"/>
      <w:pgMar w:top="720" w:right="720" w:bottom="720" w:left="72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8AD4" w14:textId="77777777" w:rsidR="00B045EE" w:rsidRDefault="00B045EE" w:rsidP="00806486">
      <w:pPr>
        <w:spacing w:after="0" w:line="240" w:lineRule="auto"/>
      </w:pPr>
      <w:r>
        <w:separator/>
      </w:r>
    </w:p>
  </w:endnote>
  <w:endnote w:type="continuationSeparator" w:id="0">
    <w:p w14:paraId="2523F00D" w14:textId="77777777" w:rsidR="00B045EE" w:rsidRDefault="00B045E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BBF3" w14:textId="77777777" w:rsidR="002F34BA" w:rsidRDefault="002F34BA"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C3581"/>
      </w:rPr>
      <w:id w:val="-34118401"/>
      <w:docPartObj>
        <w:docPartGallery w:val="Page Numbers (Bottom of Page)"/>
        <w:docPartUnique/>
      </w:docPartObj>
    </w:sdtPr>
    <w:sdtEndPr>
      <w:rPr>
        <w:b/>
        <w:sz w:val="20"/>
      </w:rPr>
    </w:sdtEndPr>
    <w:sdtContent>
      <w:p w14:paraId="2A1FCBC7" w14:textId="34411910" w:rsidR="00403094" w:rsidRPr="00F570A8" w:rsidRDefault="009B0FF0">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403094" w:rsidRPr="00292C58">
              <w:rPr>
                <w:b/>
                <w:bCs/>
                <w:color w:val="2C3581"/>
                <w:szCs w:val="24"/>
              </w:rPr>
              <w:fldChar w:fldCharType="begin"/>
            </w:r>
            <w:r w:rsidR="00403094" w:rsidRPr="00292C58">
              <w:rPr>
                <w:b/>
                <w:bCs/>
                <w:color w:val="2C3581"/>
                <w:szCs w:val="24"/>
              </w:rPr>
              <w:instrText xml:space="preserve"> PAGE </w:instrText>
            </w:r>
            <w:r w:rsidR="00403094" w:rsidRPr="00292C58">
              <w:rPr>
                <w:b/>
                <w:bCs/>
                <w:color w:val="2C3581"/>
                <w:szCs w:val="24"/>
              </w:rPr>
              <w:fldChar w:fldCharType="separate"/>
            </w:r>
            <w:r w:rsidR="00DA08E7">
              <w:rPr>
                <w:b/>
                <w:bCs/>
                <w:noProof/>
                <w:color w:val="2C3581"/>
                <w:szCs w:val="24"/>
              </w:rPr>
              <w:t>5</w:t>
            </w:r>
            <w:r w:rsidR="00403094" w:rsidRPr="00292C58">
              <w:rPr>
                <w:b/>
                <w:bCs/>
                <w:color w:val="2C3581"/>
                <w:szCs w:val="24"/>
              </w:rPr>
              <w:fldChar w:fldCharType="end"/>
            </w:r>
            <w:r w:rsidR="00403094" w:rsidRPr="00292C58">
              <w:rPr>
                <w:b/>
                <w:color w:val="2C3581"/>
                <w:szCs w:val="24"/>
              </w:rPr>
              <w:t>/</w:t>
            </w:r>
            <w:r w:rsidR="00403094" w:rsidRPr="00292C58">
              <w:rPr>
                <w:b/>
                <w:bCs/>
                <w:color w:val="2C3581"/>
                <w:szCs w:val="24"/>
              </w:rPr>
              <w:fldChar w:fldCharType="begin"/>
            </w:r>
            <w:r w:rsidR="00403094" w:rsidRPr="00292C58">
              <w:rPr>
                <w:b/>
                <w:bCs/>
                <w:color w:val="2C3581"/>
                <w:szCs w:val="24"/>
              </w:rPr>
              <w:instrText xml:space="preserve"> NUMPAGES  </w:instrText>
            </w:r>
            <w:r w:rsidR="00403094" w:rsidRPr="00292C58">
              <w:rPr>
                <w:b/>
                <w:bCs/>
                <w:color w:val="2C3581"/>
                <w:szCs w:val="24"/>
              </w:rPr>
              <w:fldChar w:fldCharType="separate"/>
            </w:r>
            <w:r w:rsidR="00DA08E7">
              <w:rPr>
                <w:b/>
                <w:bCs/>
                <w:noProof/>
                <w:color w:val="2C3581"/>
                <w:szCs w:val="24"/>
              </w:rPr>
              <w:t>5</w:t>
            </w:r>
            <w:r w:rsidR="00403094" w:rsidRPr="00292C58">
              <w:rPr>
                <w:b/>
                <w:bCs/>
                <w:color w:val="2C3581"/>
                <w:szCs w:val="24"/>
              </w:rPr>
              <w:fldChar w:fldCharType="end"/>
            </w:r>
          </w:sdtContent>
        </w:sdt>
      </w:p>
    </w:sdtContent>
  </w:sdt>
  <w:p w14:paraId="2A61A309" w14:textId="101F13D1" w:rsidR="0024718E" w:rsidRDefault="0024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4B4C" w14:textId="77777777" w:rsidR="00B045EE" w:rsidRDefault="00B045EE" w:rsidP="00806486">
      <w:pPr>
        <w:spacing w:after="0" w:line="240" w:lineRule="auto"/>
      </w:pPr>
      <w:r>
        <w:separator/>
      </w:r>
    </w:p>
  </w:footnote>
  <w:footnote w:type="continuationSeparator" w:id="0">
    <w:p w14:paraId="181ED51D" w14:textId="77777777" w:rsidR="00B045EE" w:rsidRDefault="00B045E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C229" w14:textId="77777777" w:rsidR="0024718E" w:rsidRDefault="0024718E" w:rsidP="00806486">
    <w:pPr>
      <w:pStyle w:val="Header"/>
    </w:pPr>
    <w:r>
      <w:rPr>
        <w:noProof/>
        <w:lang w:eastAsia="fi-FI"/>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eastAsia="fi-FI"/>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4718E" w:rsidRDefault="0024718E"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8"/>
  </w:num>
  <w:num w:numId="5">
    <w:abstractNumId w:val="10"/>
  </w:num>
  <w:num w:numId="6">
    <w:abstractNumId w:val="5"/>
  </w:num>
  <w:num w:numId="7">
    <w:abstractNumId w:val="22"/>
  </w:num>
  <w:num w:numId="8">
    <w:abstractNumId w:val="21"/>
  </w:num>
  <w:num w:numId="9">
    <w:abstractNumId w:val="11"/>
  </w:num>
  <w:num w:numId="10">
    <w:abstractNumId w:val="6"/>
  </w:num>
  <w:num w:numId="11">
    <w:abstractNumId w:val="28"/>
  </w:num>
  <w:num w:numId="12">
    <w:abstractNumId w:val="27"/>
  </w:num>
  <w:num w:numId="13">
    <w:abstractNumId w:val="2"/>
  </w:num>
  <w:num w:numId="14">
    <w:abstractNumId w:val="24"/>
  </w:num>
  <w:num w:numId="15">
    <w:abstractNumId w:val="33"/>
  </w:num>
  <w:num w:numId="16">
    <w:abstractNumId w:val="17"/>
  </w:num>
  <w:num w:numId="17">
    <w:abstractNumId w:val="14"/>
  </w:num>
  <w:num w:numId="18">
    <w:abstractNumId w:val="32"/>
  </w:num>
  <w:num w:numId="19">
    <w:abstractNumId w:val="12"/>
  </w:num>
  <w:num w:numId="20">
    <w:abstractNumId w:val="18"/>
  </w:num>
  <w:num w:numId="21">
    <w:abstractNumId w:val="26"/>
  </w:num>
  <w:num w:numId="22">
    <w:abstractNumId w:val="1"/>
  </w:num>
  <w:num w:numId="23">
    <w:abstractNumId w:val="19"/>
  </w:num>
  <w:num w:numId="24">
    <w:abstractNumId w:val="3"/>
  </w:num>
  <w:num w:numId="25">
    <w:abstractNumId w:val="16"/>
  </w:num>
  <w:num w:numId="26">
    <w:abstractNumId w:val="29"/>
  </w:num>
  <w:num w:numId="27">
    <w:abstractNumId w:val="20"/>
  </w:num>
  <w:num w:numId="28">
    <w:abstractNumId w:val="15"/>
  </w:num>
  <w:num w:numId="29">
    <w:abstractNumId w:val="7"/>
  </w:num>
  <w:num w:numId="30">
    <w:abstractNumId w:val="31"/>
  </w:num>
  <w:num w:numId="31">
    <w:abstractNumId w:val="25"/>
  </w:num>
  <w:num w:numId="32">
    <w:abstractNumId w:val="9"/>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forms" w:formatting="1" w:enforcement="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86"/>
    <w:rsid w:val="0000746A"/>
    <w:rsid w:val="0001324F"/>
    <w:rsid w:val="0001667A"/>
    <w:rsid w:val="00017E4E"/>
    <w:rsid w:val="00021CAD"/>
    <w:rsid w:val="00022C3A"/>
    <w:rsid w:val="000259FC"/>
    <w:rsid w:val="00030071"/>
    <w:rsid w:val="00040E41"/>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4621"/>
    <w:rsid w:val="000947F5"/>
    <w:rsid w:val="0009562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52D5"/>
    <w:rsid w:val="001154E9"/>
    <w:rsid w:val="001165FC"/>
    <w:rsid w:val="00116F38"/>
    <w:rsid w:val="0011785B"/>
    <w:rsid w:val="00123C79"/>
    <w:rsid w:val="001255C8"/>
    <w:rsid w:val="00125BFD"/>
    <w:rsid w:val="00125F7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310A"/>
    <w:rsid w:val="00185F4C"/>
    <w:rsid w:val="00186DE7"/>
    <w:rsid w:val="001938E7"/>
    <w:rsid w:val="00194F99"/>
    <w:rsid w:val="001951D9"/>
    <w:rsid w:val="0019573D"/>
    <w:rsid w:val="0019662E"/>
    <w:rsid w:val="001976EC"/>
    <w:rsid w:val="001A21C8"/>
    <w:rsid w:val="001A493A"/>
    <w:rsid w:val="001A698E"/>
    <w:rsid w:val="001A70C4"/>
    <w:rsid w:val="001B5508"/>
    <w:rsid w:val="001B5BF6"/>
    <w:rsid w:val="001B6040"/>
    <w:rsid w:val="001B7561"/>
    <w:rsid w:val="001C11FF"/>
    <w:rsid w:val="001C6F58"/>
    <w:rsid w:val="001D653F"/>
    <w:rsid w:val="001D7C81"/>
    <w:rsid w:val="001E0474"/>
    <w:rsid w:val="001E52E4"/>
    <w:rsid w:val="001E70C2"/>
    <w:rsid w:val="001F012F"/>
    <w:rsid w:val="001F250D"/>
    <w:rsid w:val="001F276B"/>
    <w:rsid w:val="001F7566"/>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3195"/>
    <w:rsid w:val="0027625F"/>
    <w:rsid w:val="002771F5"/>
    <w:rsid w:val="00290060"/>
    <w:rsid w:val="00292C58"/>
    <w:rsid w:val="00293502"/>
    <w:rsid w:val="0029389E"/>
    <w:rsid w:val="002942D5"/>
    <w:rsid w:val="00294FDC"/>
    <w:rsid w:val="002977B7"/>
    <w:rsid w:val="00297C22"/>
    <w:rsid w:val="002A7A48"/>
    <w:rsid w:val="002A7B3B"/>
    <w:rsid w:val="002B1E25"/>
    <w:rsid w:val="002C77A9"/>
    <w:rsid w:val="002D4510"/>
    <w:rsid w:val="002D7E64"/>
    <w:rsid w:val="002E1E0F"/>
    <w:rsid w:val="002E27BC"/>
    <w:rsid w:val="002E2CB2"/>
    <w:rsid w:val="002E3349"/>
    <w:rsid w:val="002F25F1"/>
    <w:rsid w:val="002F34BA"/>
    <w:rsid w:val="003007F4"/>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4FA4"/>
    <w:rsid w:val="00380811"/>
    <w:rsid w:val="0038280F"/>
    <w:rsid w:val="003855BD"/>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326AC"/>
    <w:rsid w:val="00535B4E"/>
    <w:rsid w:val="005367A6"/>
    <w:rsid w:val="00542DC0"/>
    <w:rsid w:val="00547E97"/>
    <w:rsid w:val="00551A8C"/>
    <w:rsid w:val="005542F7"/>
    <w:rsid w:val="00555E0B"/>
    <w:rsid w:val="00556F5A"/>
    <w:rsid w:val="00557E13"/>
    <w:rsid w:val="00562F40"/>
    <w:rsid w:val="0056639D"/>
    <w:rsid w:val="00567C0C"/>
    <w:rsid w:val="00570340"/>
    <w:rsid w:val="00571342"/>
    <w:rsid w:val="00573EA6"/>
    <w:rsid w:val="00577A0B"/>
    <w:rsid w:val="00582A7D"/>
    <w:rsid w:val="00582AEB"/>
    <w:rsid w:val="00584FA5"/>
    <w:rsid w:val="00585111"/>
    <w:rsid w:val="005900D2"/>
    <w:rsid w:val="00593A96"/>
    <w:rsid w:val="0059513E"/>
    <w:rsid w:val="005A027F"/>
    <w:rsid w:val="005A166F"/>
    <w:rsid w:val="005A2769"/>
    <w:rsid w:val="005A3959"/>
    <w:rsid w:val="005A6583"/>
    <w:rsid w:val="005B1042"/>
    <w:rsid w:val="005B2B44"/>
    <w:rsid w:val="005B75D1"/>
    <w:rsid w:val="005C142B"/>
    <w:rsid w:val="005C63DF"/>
    <w:rsid w:val="005C6589"/>
    <w:rsid w:val="005C7B1F"/>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3AB7"/>
    <w:rsid w:val="00654E79"/>
    <w:rsid w:val="00655C67"/>
    <w:rsid w:val="006562DA"/>
    <w:rsid w:val="00660DD8"/>
    <w:rsid w:val="0066447F"/>
    <w:rsid w:val="00666024"/>
    <w:rsid w:val="006674F5"/>
    <w:rsid w:val="006702C6"/>
    <w:rsid w:val="00675A60"/>
    <w:rsid w:val="00680F6B"/>
    <w:rsid w:val="00683BA2"/>
    <w:rsid w:val="0068628F"/>
    <w:rsid w:val="00691440"/>
    <w:rsid w:val="00691A3A"/>
    <w:rsid w:val="00692EB5"/>
    <w:rsid w:val="0069416B"/>
    <w:rsid w:val="00695813"/>
    <w:rsid w:val="00697307"/>
    <w:rsid w:val="006A2B51"/>
    <w:rsid w:val="006A5C4E"/>
    <w:rsid w:val="006A6790"/>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5C05"/>
    <w:rsid w:val="00706A8F"/>
    <w:rsid w:val="00727C98"/>
    <w:rsid w:val="00730A82"/>
    <w:rsid w:val="00730EEE"/>
    <w:rsid w:val="007312B0"/>
    <w:rsid w:val="0073192A"/>
    <w:rsid w:val="00731FED"/>
    <w:rsid w:val="00732C15"/>
    <w:rsid w:val="00734615"/>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F062C"/>
    <w:rsid w:val="007F20F9"/>
    <w:rsid w:val="007F4033"/>
    <w:rsid w:val="00806486"/>
    <w:rsid w:val="00807D19"/>
    <w:rsid w:val="00814CE6"/>
    <w:rsid w:val="008214B6"/>
    <w:rsid w:val="0082426E"/>
    <w:rsid w:val="00825072"/>
    <w:rsid w:val="00826A68"/>
    <w:rsid w:val="00827012"/>
    <w:rsid w:val="008275E4"/>
    <w:rsid w:val="0082786A"/>
    <w:rsid w:val="008300FA"/>
    <w:rsid w:val="00830C00"/>
    <w:rsid w:val="008333BC"/>
    <w:rsid w:val="0083651B"/>
    <w:rsid w:val="00844536"/>
    <w:rsid w:val="00844C79"/>
    <w:rsid w:val="0085383E"/>
    <w:rsid w:val="00854A6A"/>
    <w:rsid w:val="00854E18"/>
    <w:rsid w:val="0085540E"/>
    <w:rsid w:val="00861B43"/>
    <w:rsid w:val="0086344E"/>
    <w:rsid w:val="008658F9"/>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3011"/>
    <w:rsid w:val="009C68B6"/>
    <w:rsid w:val="009D3C14"/>
    <w:rsid w:val="009D52CC"/>
    <w:rsid w:val="009D67BF"/>
    <w:rsid w:val="009E1EA9"/>
    <w:rsid w:val="009E435B"/>
    <w:rsid w:val="009E711B"/>
    <w:rsid w:val="009F14CA"/>
    <w:rsid w:val="009F1E33"/>
    <w:rsid w:val="009F25B9"/>
    <w:rsid w:val="009F613F"/>
    <w:rsid w:val="00A01760"/>
    <w:rsid w:val="00A03B45"/>
    <w:rsid w:val="00A06F54"/>
    <w:rsid w:val="00A132CB"/>
    <w:rsid w:val="00A17179"/>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6A39"/>
    <w:rsid w:val="00AC6BE7"/>
    <w:rsid w:val="00AD0507"/>
    <w:rsid w:val="00AD23A0"/>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95306"/>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3C47"/>
    <w:rsid w:val="00C00877"/>
    <w:rsid w:val="00C053D0"/>
    <w:rsid w:val="00C053F1"/>
    <w:rsid w:val="00C0746C"/>
    <w:rsid w:val="00C155F4"/>
    <w:rsid w:val="00C21062"/>
    <w:rsid w:val="00C24896"/>
    <w:rsid w:val="00C30A2C"/>
    <w:rsid w:val="00C30C21"/>
    <w:rsid w:val="00C37BC3"/>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64C0"/>
    <w:rsid w:val="00CA5E5B"/>
    <w:rsid w:val="00CB1C04"/>
    <w:rsid w:val="00CC0590"/>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38FE"/>
    <w:rsid w:val="00D1459F"/>
    <w:rsid w:val="00D16DF6"/>
    <w:rsid w:val="00D258D9"/>
    <w:rsid w:val="00D279ED"/>
    <w:rsid w:val="00D27BB8"/>
    <w:rsid w:val="00D30534"/>
    <w:rsid w:val="00D31EA0"/>
    <w:rsid w:val="00D33979"/>
    <w:rsid w:val="00D34B4E"/>
    <w:rsid w:val="00D35283"/>
    <w:rsid w:val="00D36CEF"/>
    <w:rsid w:val="00D41596"/>
    <w:rsid w:val="00D44275"/>
    <w:rsid w:val="00D46C5D"/>
    <w:rsid w:val="00D53A29"/>
    <w:rsid w:val="00D60AC2"/>
    <w:rsid w:val="00D64552"/>
    <w:rsid w:val="00D65AA5"/>
    <w:rsid w:val="00D66730"/>
    <w:rsid w:val="00D70670"/>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E26ED"/>
    <w:rsid w:val="00DE4342"/>
    <w:rsid w:val="00DF172D"/>
    <w:rsid w:val="00DF1DFD"/>
    <w:rsid w:val="00DF2990"/>
    <w:rsid w:val="00E00221"/>
    <w:rsid w:val="00E060F9"/>
    <w:rsid w:val="00E071A8"/>
    <w:rsid w:val="00E174E4"/>
    <w:rsid w:val="00E20AF4"/>
    <w:rsid w:val="00E2414B"/>
    <w:rsid w:val="00E24444"/>
    <w:rsid w:val="00E25F24"/>
    <w:rsid w:val="00E33D8D"/>
    <w:rsid w:val="00E42211"/>
    <w:rsid w:val="00E466AC"/>
    <w:rsid w:val="00E5053B"/>
    <w:rsid w:val="00E549FF"/>
    <w:rsid w:val="00E56EBB"/>
    <w:rsid w:val="00E5707B"/>
    <w:rsid w:val="00E628A6"/>
    <w:rsid w:val="00E63967"/>
    <w:rsid w:val="00E64015"/>
    <w:rsid w:val="00E66FD1"/>
    <w:rsid w:val="00E70529"/>
    <w:rsid w:val="00E739D9"/>
    <w:rsid w:val="00E75E30"/>
    <w:rsid w:val="00E80AB9"/>
    <w:rsid w:val="00E813E3"/>
    <w:rsid w:val="00E915ED"/>
    <w:rsid w:val="00E9166C"/>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F16F9"/>
    <w:rsid w:val="00EF3C49"/>
    <w:rsid w:val="00EF3D7C"/>
    <w:rsid w:val="00EF4677"/>
    <w:rsid w:val="00EF65A2"/>
    <w:rsid w:val="00F0074C"/>
    <w:rsid w:val="00F0244D"/>
    <w:rsid w:val="00F03305"/>
    <w:rsid w:val="00F0366D"/>
    <w:rsid w:val="00F05E25"/>
    <w:rsid w:val="00F10A6B"/>
    <w:rsid w:val="00F138E1"/>
    <w:rsid w:val="00F22BA0"/>
    <w:rsid w:val="00F25054"/>
    <w:rsid w:val="00F2533D"/>
    <w:rsid w:val="00F2646D"/>
    <w:rsid w:val="00F26B61"/>
    <w:rsid w:val="00F30ADB"/>
    <w:rsid w:val="00F3344C"/>
    <w:rsid w:val="00F356E4"/>
    <w:rsid w:val="00F403B2"/>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E028C"/>
    <w:rsid w:val="00FE0EDE"/>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A0427"/>
  <w15:chartTrackingRefBased/>
  <w15:docId w15:val="{3F37C847-EE00-4C08-A6DD-74000A0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74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seurope.com/article/1664421/finland-accused-climate-double-standards-deforestation-tal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inforests.mongabay.com/deforestation/archive/Finland.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2.xml><?xml version="1.0" encoding="utf-8"?>
<ds:datastoreItem xmlns:ds="http://schemas.openxmlformats.org/officeDocument/2006/customXml" ds:itemID="{614144AD-92E4-4D74-87C8-A6B92280CD2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16aeb24-1537-41ba-99c9-37ce7ca74b4e"/>
    <ds:schemaRef ds:uri="http://www.w3.org/XML/1998/namespace"/>
    <ds:schemaRef ds:uri="http://purl.org/dc/dcmitype/"/>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52286-3BA6-4333-8630-34EB3BD4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4364</Words>
  <Characters>35355</Characters>
  <Application>Microsoft Office Word</Application>
  <DocSecurity>0</DocSecurity>
  <Lines>294</Lines>
  <Paragraphs>79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5</cp:revision>
  <cp:lastPrinted>2020-01-08T13:46:00Z</cp:lastPrinted>
  <dcterms:created xsi:type="dcterms:W3CDTF">2020-06-12T10:21:00Z</dcterms:created>
  <dcterms:modified xsi:type="dcterms:W3CDTF">2020-06-12T10:34:00Z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