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20A7C544" wp14:textId="77777777">
      <w:pPr>
        <w:pStyle w:val="Heading2"/>
        <w:spacing w:before="360" w:after="120"/>
        <w:rPr>
          <w:rFonts w:ascii="Calibri" w:hAnsi="Calibri" w:eastAsia="Calibri" w:cs="Calibri"/>
        </w:rPr>
      </w:pPr>
      <w:bookmarkStart w:name="_gjdgxs" w:id="0"/>
      <w:bookmarkEnd w:id="0"/>
      <w:r>
        <w:rPr>
          <w:rFonts w:ascii="Calibri" w:hAnsi="Calibri" w:eastAsia="Calibri" w:cs="Calibri"/>
        </w:rPr>
        <w:t>Oulun yliopiston Tutkimus-, kehittämis- ja innovaatiotoiminnan (TKI) ohjeet poikkeusoloissa</w:t>
      </w:r>
    </w:p>
    <w:p xmlns:wp14="http://schemas.microsoft.com/office/word/2010/wordml" w14:paraId="3EF0A549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24.3.2020 - ohjeita täydennetään ja muokataan tarpeen mukaan</w:t>
      </w:r>
    </w:p>
    <w:p xmlns:wp14="http://schemas.microsoft.com/office/word/2010/wordml" w14:paraId="672A6659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0676BE5B" wp14:textId="77777777">
      <w:pPr>
        <w:pStyle w:val="Normal"/>
        <w:rPr/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Sellaisia tehtäviä tai tehtävän osia, jotka voidaan suorittaa etänä, ei saa suorittaa yliopiston tiloissa. Ks. Pation ohje: </w:t>
      </w:r>
      <w:hyperlink r:id="rId2">
        <w:r>
          <w:rPr>
            <w:rStyle w:val="ListLabel46"/>
            <w:rFonts w:ascii="Calibri" w:hAnsi="Calibri" w:eastAsia="Calibri" w:cs="Calibri"/>
            <w:color w:val="1155CC"/>
            <w:sz w:val="24"/>
            <w:szCs w:val="24"/>
            <w:u w:val="single"/>
            <w:shd w:val="clear" w:fill="auto"/>
          </w:rPr>
          <w:t>Tarkempia määräyksiä työskentelystä yliopiston tiloissa poikkeusolojen aikana 18.3.2020-13.4.2020</w:t>
        </w:r>
      </w:hyperlink>
      <w:r>
        <w:rPr>
          <w:rFonts w:ascii="Calibri" w:hAnsi="Calibri" w:eastAsia="Calibri" w:cs="Calibri"/>
          <w:sz w:val="24"/>
          <w:szCs w:val="24"/>
          <w:highlight w:val="white"/>
        </w:rPr>
        <w:t xml:space="preserve">. </w:t>
      </w:r>
    </w:p>
    <w:p xmlns:wp14="http://schemas.microsoft.com/office/word/2010/wordml" w14:paraId="0A37501D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24704C29" wp14:textId="77777777">
      <w:pPr>
        <w:pStyle w:val="Normal"/>
        <w:rPr/>
      </w:pPr>
      <w:r>
        <w:rPr>
          <w:rFonts w:ascii="Calibri" w:hAnsi="Calibri" w:eastAsia="Calibri" w:cs="Calibri"/>
          <w:sz w:val="24"/>
          <w:szCs w:val="24"/>
          <w:highlight w:val="white"/>
        </w:rPr>
        <w:t>Yliopiston tiloissa työskentely sallitaan kriittisen TKI-toiminnan turvaamiseksi: tällöin katkos toiminnassa on kriittistä toimintojen ylläpidon, pitkien aikasarjojen, projektin, väitöskirjatyön tai yhteistyön toteuttamisen kannalta – Ks. Taulukkomuotoinen apuväline TKI-toimintojen kriittisyyden tulkintaan (</w:t>
      </w:r>
      <w:hyperlink w:anchor="_1fob9te">
        <w:r>
          <w:rPr>
            <w:rStyle w:val="ListLabel47"/>
            <w:rFonts w:ascii="Calibri" w:hAnsi="Calibri" w:eastAsia="Calibri" w:cs="Calibri"/>
            <w:color w:val="1155CC"/>
            <w:sz w:val="24"/>
            <w:szCs w:val="24"/>
            <w:highlight w:val="white"/>
            <w:u w:val="single"/>
          </w:rPr>
          <w:t>Liite 1</w:t>
        </w:r>
      </w:hyperlink>
      <w:r>
        <w:rPr>
          <w:rFonts w:ascii="Calibri" w:hAnsi="Calibri" w:eastAsia="Calibri" w:cs="Calibri"/>
          <w:sz w:val="24"/>
          <w:szCs w:val="24"/>
          <w:highlight w:val="white"/>
        </w:rPr>
        <w:t>).</w:t>
      </w:r>
    </w:p>
    <w:p xmlns:wp14="http://schemas.microsoft.com/office/word/2010/wordml" w14:paraId="5DAB6C7B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7A9AB5FD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Lupaprosessi: Yliopistolla työskentely edellyttää esimiehen arvion kriittisyydestä ja luvan oheisen mukaisesti. </w:t>
      </w:r>
    </w:p>
    <w:p xmlns:wp14="http://schemas.microsoft.com/office/word/2010/wordml" w14:paraId="45A0B63F" wp14:textId="4AE52601">
      <w:pPr>
        <w:pStyle w:val="Normal"/>
        <w:numPr>
          <w:ilvl w:val="0"/>
          <w:numId w:val="5"/>
        </w:numPr>
        <w:ind w:left="720" w:hanging="360"/>
        <w:rPr/>
      </w:pPr>
      <w:hyperlink w:anchor="_1fob9te">
        <w:r w:rsidR="0F23C47F">
          <w:rPr>
            <w:rStyle w:val="ListLabel46"/>
            <w:rFonts w:ascii="Calibri" w:hAnsi="Calibri" w:eastAsia="Calibri" w:cs="Calibri"/>
            <w:color w:val="1155CC"/>
            <w:sz w:val="24"/>
            <w:szCs w:val="24"/>
            <w:u w:val="single"/>
            <w:shd w:val="clear" w:fill="auto"/>
          </w:rPr>
          <w:t>Liitteen 1</w:t>
        </w:r>
      </w:hyperlink>
      <w:r w:rsidR="0F23C47F">
        <w:rPr>
          <w:rFonts w:ascii="Calibri" w:hAnsi="Calibri" w:eastAsia="Calibri" w:cs="Calibri"/>
          <w:sz w:val="24"/>
          <w:szCs w:val="24"/>
          <w:highlight w:val="white"/>
        </w:rPr>
        <w:t xml:space="preserve"> mukaiset </w:t>
      </w:r>
      <w:r w:rsidRPr="0F23C47F" w:rsidR="0F23C47F">
        <w:rPr>
          <w:rFonts w:ascii="Calibri" w:hAnsi="Calibri" w:eastAsia="Calibri" w:cs="Calibri"/>
          <w:b w:val="1"/>
          <w:bCs w:val="1"/>
          <w:color w:val="38761D"/>
          <w:sz w:val="24"/>
          <w:szCs w:val="24"/>
          <w:highlight w:val="white"/>
        </w:rPr>
        <w:t>vihreällä merkityt tehtävät</w:t>
      </w:r>
      <w:r w:rsidR="0F23C47F">
        <w:rPr>
          <w:rFonts w:ascii="Calibri" w:hAnsi="Calibri" w:eastAsia="Calibri" w:cs="Calibri"/>
          <w:sz w:val="24"/>
          <w:szCs w:val="24"/>
          <w:highlight w:val="white"/>
        </w:rPr>
        <w:t xml:space="preserve">: arvion tekee ja luvan antaa tutkimusyksikön (TY) johtaja (voi tarvittaessa pyytää esityksen linjaesimieheltä), </w:t>
      </w:r>
      <w:proofErr w:type="spellStart"/>
      <w:r w:rsidR="0F23C47F">
        <w:rPr>
          <w:rFonts w:ascii="Calibri" w:hAnsi="Calibri" w:eastAsia="Calibri" w:cs="Calibri"/>
          <w:sz w:val="24"/>
          <w:szCs w:val="24"/>
          <w:highlight w:val="white"/>
        </w:rPr>
        <w:t>TY:n</w:t>
      </w:r>
      <w:proofErr w:type="spellEnd"/>
      <w:r w:rsidR="0F23C47F">
        <w:rPr>
          <w:rFonts w:ascii="Calibri" w:hAnsi="Calibri" w:eastAsia="Calibri" w:cs="Calibri"/>
          <w:sz w:val="24"/>
          <w:szCs w:val="24"/>
          <w:highlight w:val="white"/>
        </w:rPr>
        <w:t xml:space="preserve"> johtaja ilmoittaa päätöksestään dekaanille / erillisyksikön johtajalle. Yliopistotason infrastruktuuriyksiköiden osalta näiden johtaja tekee </w:t>
      </w:r>
      <w:r w:rsidR="0F23C47F">
        <w:rPr>
          <w:rFonts w:ascii="Calibri" w:hAnsi="Calibri" w:eastAsia="Calibri" w:cs="Calibri"/>
          <w:sz w:val="24"/>
          <w:szCs w:val="24"/>
          <w:highlight w:val="white"/>
        </w:rPr>
        <w:t>arvion (</w:t>
      </w:r>
      <w:r w:rsidR="0F23C47F">
        <w:rPr>
          <w:rFonts w:ascii="Calibri" w:hAnsi="Calibri" w:eastAsia="Calibri" w:cs="Calibri"/>
          <w:sz w:val="24"/>
          <w:szCs w:val="24"/>
          <w:highlight w:val="white"/>
        </w:rPr>
        <w:t>voi tarvittaessa pyytää esityksen linjaesimieheltä), ja päättää luvasta.</w:t>
      </w:r>
    </w:p>
    <w:p xmlns:wp14="http://schemas.microsoft.com/office/word/2010/wordml" w14:paraId="5E81405C" wp14:textId="77777777">
      <w:pPr>
        <w:pStyle w:val="Normal"/>
        <w:numPr>
          <w:ilvl w:val="0"/>
          <w:numId w:val="5"/>
        </w:numPr>
        <w:ind w:left="720" w:hanging="360"/>
        <w:rPr/>
      </w:pPr>
      <w:hyperlink w:anchor="_1fob9te">
        <w:r>
          <w:rPr>
            <w:rStyle w:val="ListLabel46"/>
            <w:rFonts w:ascii="Calibri" w:hAnsi="Calibri" w:eastAsia="Calibri" w:cs="Calibri"/>
            <w:color w:val="1155CC"/>
            <w:sz w:val="24"/>
            <w:szCs w:val="24"/>
            <w:u w:val="single"/>
            <w:shd w:val="clear" w:fill="auto"/>
          </w:rPr>
          <w:t>Liitteen 1</w:t>
        </w:r>
      </w:hyperlink>
      <w:r>
        <w:rPr>
          <w:rFonts w:ascii="Calibri" w:hAnsi="Calibri" w:eastAsia="Calibri" w:cs="Calibri"/>
          <w:sz w:val="24"/>
          <w:szCs w:val="24"/>
          <w:highlight w:val="white"/>
        </w:rPr>
        <w:t xml:space="preserve"> mukaiset </w:t>
      </w:r>
      <w:r>
        <w:rPr>
          <w:rFonts w:ascii="Calibri" w:hAnsi="Calibri" w:eastAsia="Calibri" w:cs="Calibri"/>
          <w:b/>
          <w:color w:val="E69138"/>
          <w:sz w:val="24"/>
          <w:szCs w:val="24"/>
          <w:highlight w:val="white"/>
        </w:rPr>
        <w:t>keltaisella merkityt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tehtävät: arvion tekee TY:n johtaja (voi tarvittaessa pyytää esityksen linjaesimieheltä), luvan antaa dekaani / erillisyksikön johtaja.</w:t>
      </w:r>
    </w:p>
    <w:p xmlns:wp14="http://schemas.microsoft.com/office/word/2010/wordml" w14:paraId="58712F43" wp14:textId="77777777">
      <w:pPr>
        <w:pStyle w:val="Normal"/>
        <w:numPr>
          <w:ilvl w:val="0"/>
          <w:numId w:val="5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Jos halutaan määritellä kriittisyystaulukkoon jotakin </w:t>
      </w:r>
      <w:r>
        <w:rPr>
          <w:rFonts w:ascii="Calibri" w:hAnsi="Calibri" w:eastAsia="Calibri" w:cs="Calibri"/>
          <w:b/>
          <w:sz w:val="24"/>
          <w:szCs w:val="24"/>
          <w:highlight w:val="white"/>
        </w:rPr>
        <w:t>uutta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tai antaa lupa johonkin </w:t>
      </w:r>
      <w:r>
        <w:rPr>
          <w:rFonts w:ascii="Calibri" w:hAnsi="Calibri" w:eastAsia="Calibri" w:cs="Calibri"/>
          <w:b/>
          <w:color w:val="990000"/>
          <w:sz w:val="24"/>
          <w:szCs w:val="24"/>
          <w:highlight w:val="white"/>
        </w:rPr>
        <w:t>punaisella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merkittyyn tehtävään, tästä tehdään esitys tutkimusvararehtorille, joka päättää luvasta.</w:t>
      </w:r>
    </w:p>
    <w:p xmlns:wp14="http://schemas.microsoft.com/office/word/2010/wordml" w14:paraId="00BA9AEF" wp14:textId="77777777">
      <w:pPr>
        <w:pStyle w:val="Normal"/>
        <w:numPr>
          <w:ilvl w:val="0"/>
          <w:numId w:val="5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bookmarkStart w:name="_wpqm4kxdxche" w:id="1"/>
      <w:bookmarkEnd w:id="1"/>
      <w:r>
        <w:rPr>
          <w:rFonts w:ascii="Calibri" w:hAnsi="Calibri" w:eastAsia="Calibri" w:cs="Calibri"/>
          <w:sz w:val="24"/>
          <w:szCs w:val="24"/>
          <w:highlight w:val="white"/>
        </w:rPr>
        <w:t>Lupatiedot kerätään kaikista luvan saaneista henkilöistä lomakkeella. Tiedekunnassa / erillisyksikössä sovitaan menettely lupatietojen keräämiseen, esim. TY:n johtaja kerää oman yksikkönsä luvat tai dekaanin kerää koko tiedekunnan osalta luvat.</w:t>
      </w:r>
      <w:r>
        <w:rPr>
          <w:rFonts w:ascii="Calibri" w:hAnsi="Calibri" w:eastAsia="Calibri" w:cs="Calibri"/>
          <w:sz w:val="24"/>
          <w:szCs w:val="24"/>
        </w:rPr>
        <w:t xml:space="preserve"> Yksiköissä luvan antaja huolehtii lupatietojen kokoamisesta ja ylläpidosta. Erillisyksiköiden osalta toimitaan vastaavasti. Operatiivinen ryhmä pyytää tarvittaessa luvan antajalta raportin, joka sisältää ajankohtaisen tiedon luvista.</w:t>
      </w:r>
    </w:p>
    <w:p xmlns:wp14="http://schemas.microsoft.com/office/word/2010/wordml" w14:paraId="02EB378F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2ED052CC" wp14:textId="77777777">
      <w:pPr>
        <w:pStyle w:val="Normal"/>
        <w:numPr>
          <w:ilvl w:val="0"/>
          <w:numId w:val="1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Esimiesten on syytä harkita tilakohtaisen maksimikuormituksen määrä, jotta esimies pystyy huolehtimaan siitä, että tila ei ylikuormitu huomioiden turvallisuusohjeet.</w:t>
      </w:r>
    </w:p>
    <w:p xmlns:wp14="http://schemas.microsoft.com/office/word/2010/wordml" w14:paraId="7AB6B295" wp14:textId="77777777">
      <w:pPr>
        <w:pStyle w:val="Normal"/>
        <w:numPr>
          <w:ilvl w:val="0"/>
          <w:numId w:val="1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Jokainen esimies huolehtii siitä, että kriittisiin TKI-toimintaan osallistuvien henkilöiden määrä tiloissa ei ylitä ohjeistuksessa määriteltyjä henkilömääriä ja että tarvittaessa henkilöiden tilankäyttöä porrastetaan. Samoin esimiehet huolehtivat siitä, että työskentely on ohjeiden mukaista.</w:t>
      </w:r>
    </w:p>
    <w:p xmlns:wp14="http://schemas.microsoft.com/office/word/2010/wordml" w14:paraId="00057807" wp14:textId="77777777">
      <w:pPr>
        <w:pStyle w:val="Normal"/>
        <w:numPr>
          <w:ilvl w:val="0"/>
          <w:numId w:val="1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Laboratorioissa ja muissa työtiloissa oleskellaan vain työskentelylle välttämättömän ajan, jonka jälkeen siirrytään etätyöhön.</w:t>
      </w:r>
    </w:p>
    <w:p xmlns:wp14="http://schemas.microsoft.com/office/word/2010/wordml" w14:paraId="1CA5E889" wp14:textId="77777777">
      <w:pPr>
        <w:pStyle w:val="Normal"/>
        <w:numPr>
          <w:ilvl w:val="0"/>
          <w:numId w:val="1"/>
        </w:numPr>
        <w:ind w:left="720" w:hanging="360"/>
        <w:rPr/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Kriittisiin TKI-toimintoihin osallistuvalla henkilöllä on oltava lupa TKI-työhön yliopistolla. Sisään tullessa jokaisen on kirjauduttava henkilökohtaisella tunnisteellaan</w:t>
      </w:r>
      <w:r w:rsidRPr="0F23C47F" w:rsidR="0F23C47F">
        <w:rPr>
          <w:rFonts w:ascii="Calibri" w:hAnsi="Calibri" w:eastAsia="Calibri" w:cs="Calibri"/>
          <w:b w:val="1"/>
          <w:bCs w:val="1"/>
          <w:sz w:val="24"/>
          <w:szCs w:val="24"/>
          <w:highlight w:val="white"/>
        </w:rPr>
        <w:t xml:space="preserve"> </w:t>
      </w: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(henkilökortti/pilkki).</w:t>
      </w:r>
    </w:p>
    <w:p xmlns:wp14="http://schemas.microsoft.com/office/word/2010/wordml" w14:paraId="3459BF43" wp14:textId="77777777">
      <w:pPr>
        <w:pStyle w:val="Normal"/>
        <w:numPr>
          <w:ilvl w:val="0"/>
          <w:numId w:val="1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Kussakin tiedekunnassa, erillisyksikössä ja muussa kriittistä TKI-toimintaa harjoittavassa yksikössä arvioidaan em. henkilöstön määrä ja seurataan sekä valvotaan toimintaa. Lisäksi toiminnasta raportoidaan pyydettäessä sovitun mukaisesti.</w:t>
      </w:r>
    </w:p>
    <w:p xmlns:wp14="http://schemas.microsoft.com/office/word/2010/wordml" w14:paraId="01973DFC" wp14:textId="77777777">
      <w:pPr>
        <w:pStyle w:val="Normal"/>
        <w:numPr>
          <w:ilvl w:val="0"/>
          <w:numId w:val="1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Mikäli työntekijä havaitsee tiloissa liian suurta henkilökuormitusta, hänen on oltava yhteydessä luvan antajaan tai työntekijän esimieheen.</w:t>
      </w:r>
    </w:p>
    <w:p xmlns:wp14="http://schemas.microsoft.com/office/word/2010/wordml" w14:paraId="6FECA019" wp14:textId="77777777">
      <w:pPr>
        <w:pStyle w:val="Normal"/>
        <w:numPr>
          <w:ilvl w:val="0"/>
          <w:numId w:val="1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 xml:space="preserve">Yliopistotasolla varautumis- ja operatiivinen ryhmä ohjaavat toimintaa sekä seuraavat toteutumista ja turvallisuuden ylläpitoa. </w:t>
      </w:r>
    </w:p>
    <w:p xmlns:wp14="http://schemas.microsoft.com/office/word/2010/wordml" wp14:textId="77777777" w14:paraId="3A29FB26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</w:p>
    <w:p xmlns:wp14="http://schemas.microsoft.com/office/word/2010/wordml" w:rsidP="0F23C47F" w14:paraId="463E700B" wp14:textId="77777777">
      <w:pPr>
        <w:pStyle w:val="ListParagraph"/>
        <w:numPr>
          <w:ilvl w:val="0"/>
          <w:numId w:val="2"/>
        </w:numPr>
        <w:ind/>
        <w:rPr>
          <w:rFonts w:ascii="Calibri" w:hAnsi="Calibri" w:eastAsia="Calibri" w:cs="Calibri"/>
          <w:color w:val="auto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>TKI ohje koskee tutkijoita, mukaan lukien tutkijatohtorit ja väitöskirjatyöntekijät, sekä laboratorioiden ja infrastruktuuripalveluiden henkilökunta.</w:t>
      </w:r>
    </w:p>
    <w:p xmlns:wp14="http://schemas.microsoft.com/office/word/2010/wordml" w14:paraId="729EEEFB" wp14:textId="77777777">
      <w:pPr>
        <w:pStyle w:val="Normal"/>
        <w:numPr>
          <w:ilvl w:val="0"/>
          <w:numId w:val="2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 w:rsidRPr="0F23C47F" w:rsidR="0F23C47F">
        <w:rPr>
          <w:rFonts w:ascii="Calibri" w:hAnsi="Calibri" w:eastAsia="Calibri" w:cs="Calibri"/>
          <w:sz w:val="24"/>
          <w:szCs w:val="24"/>
          <w:highlight w:val="white"/>
        </w:rPr>
        <w:t xml:space="preserve">Kampusopetusta sekä Yliopistopalveluita koskevat erilliset ohjeet. </w:t>
      </w:r>
    </w:p>
    <w:p xmlns:wp14="http://schemas.microsoft.com/office/word/2010/wordml" w14:paraId="41C8F396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55BD4902" wp14:textId="77777777">
      <w:pPr>
        <w:pStyle w:val="Normal"/>
        <w:rPr/>
      </w:pPr>
      <w:r>
        <w:rPr>
          <w:rFonts w:ascii="Calibri" w:hAnsi="Calibri" w:eastAsia="Calibri" w:cs="Calibri"/>
          <w:sz w:val="24"/>
          <w:szCs w:val="24"/>
          <w:highlight w:val="white"/>
        </w:rPr>
        <w:t>Yliopiston tiloissa tarpeellista työskentelyä arvioidaan edellä esitetyn mukaisesti. Päätöksiä tehtäessä voidaan hyödyntää värikoodattua taulukkoa (</w:t>
      </w:r>
      <w:hyperlink w:anchor="_1fob9te">
        <w:r>
          <w:rPr>
            <w:rStyle w:val="ListLabel46"/>
            <w:rFonts w:ascii="Calibri" w:hAnsi="Calibri" w:eastAsia="Calibri" w:cs="Calibri"/>
            <w:color w:val="1155CC"/>
            <w:sz w:val="24"/>
            <w:szCs w:val="24"/>
            <w:u w:val="single"/>
            <w:shd w:val="clear" w:fill="auto"/>
          </w:rPr>
          <w:t>liite 1</w:t>
        </w:r>
      </w:hyperlink>
      <w:r>
        <w:rPr>
          <w:rFonts w:ascii="Calibri" w:hAnsi="Calibri" w:eastAsia="Calibri" w:cs="Calibri"/>
          <w:sz w:val="24"/>
          <w:szCs w:val="24"/>
          <w:highlight w:val="white"/>
        </w:rPr>
        <w:t>).</w:t>
      </w:r>
    </w:p>
    <w:p xmlns:wp14="http://schemas.microsoft.com/office/word/2010/wordml" w14:paraId="72A3D3EC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02225E39" wp14:textId="77777777">
      <w:pPr>
        <w:pStyle w:val="Normal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</w:rPr>
        <w:t>Työskentelylupa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sisältää seuraavat tiedot, jotka kootaan </w:t>
      </w:r>
      <w:r>
        <w:rPr>
          <w:rFonts w:ascii="Calibri" w:hAnsi="Calibri" w:eastAsia="Calibri" w:cs="Calibri"/>
          <w:sz w:val="24"/>
          <w:szCs w:val="24"/>
        </w:rPr>
        <w:t xml:space="preserve">luvan antajan ylläpitämään </w:t>
      </w:r>
      <w:r>
        <w:rPr>
          <w:rFonts w:ascii="Calibri" w:hAnsi="Calibri" w:eastAsia="Calibri" w:cs="Calibri"/>
          <w:sz w:val="24"/>
          <w:szCs w:val="24"/>
          <w:shd w:val="clear" w:fill="auto"/>
        </w:rPr>
        <w:t>taulukkoon</w:t>
      </w:r>
      <w:r>
        <w:rPr>
          <w:rFonts w:ascii="Calibri" w:hAnsi="Calibri" w:eastAsia="Calibri" w:cs="Calibri"/>
          <w:sz w:val="24"/>
          <w:szCs w:val="24"/>
          <w:highlight w:val="white"/>
        </w:rPr>
        <w:t>.</w:t>
      </w:r>
    </w:p>
    <w:p xmlns:wp14="http://schemas.microsoft.com/office/word/2010/wordml" w14:paraId="0D0B940D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5E08BCD8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Työntekijän nimi</w:t>
      </w:r>
    </w:p>
    <w:p xmlns:wp14="http://schemas.microsoft.com/office/word/2010/wordml" w14:paraId="6410C155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Tehtävä ja luvan perustelu (hyödyntäen Liitettä 1)</w:t>
      </w:r>
    </w:p>
    <w:p xmlns:wp14="http://schemas.microsoft.com/office/word/2010/wordml" w14:paraId="1552DBAD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Työskentelyn paikka – merkitään pääasiallinen työtila(t)</w:t>
      </w:r>
    </w:p>
    <w:p xmlns:wp14="http://schemas.microsoft.com/office/word/2010/wordml" w14:paraId="3A370D7C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Esimies</w:t>
      </w:r>
    </w:p>
    <w:p xmlns:wp14="http://schemas.microsoft.com/office/word/2010/wordml" w14:paraId="7E569B7D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TY johtajan hyväksyntä (vihreät tehtävät) tai ”keltaisista” tehtävistä esitys ohjeen mukaisesti</w:t>
      </w:r>
    </w:p>
    <w:p xmlns:wp14="http://schemas.microsoft.com/office/word/2010/wordml" w14:paraId="2F56A6EB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Dekaanin / erillislaitoksen / yliopistotason infrastruktuurien johtajan hyväksyntä ohjeen mukaisesti</w:t>
      </w:r>
    </w:p>
    <w:p xmlns:wp14="http://schemas.microsoft.com/office/word/2010/wordml" w14:paraId="05B8C2DF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Poikkeustapauksissa esitys ja luvananto tutkimusvararehtorille</w:t>
      </w:r>
    </w:p>
    <w:p xmlns:wp14="http://schemas.microsoft.com/office/word/2010/wordml" w14:paraId="276C6DB8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Päivämäärä luvan antamiselle</w:t>
      </w:r>
    </w:p>
    <w:p xmlns:wp14="http://schemas.microsoft.com/office/word/2010/wordml" w14:paraId="2B04C8CB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Lupa-aika (Esim. 13.4.2020)</w:t>
      </w:r>
    </w:p>
    <w:p xmlns:wp14="http://schemas.microsoft.com/office/word/2010/wordml" w14:paraId="66907E1D" wp14:textId="77777777">
      <w:pPr>
        <w:pStyle w:val="Normal"/>
        <w:numPr>
          <w:ilvl w:val="0"/>
          <w:numId w:val="4"/>
        </w:numPr>
        <w:ind w:left="720" w:hanging="36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Poikkeamat – tälle sarake, johon merkitään esim. mahdolliset rikkomukset ja luvan keskeytys</w:t>
      </w:r>
    </w:p>
    <w:p xmlns:wp14="http://schemas.microsoft.com/office/word/2010/wordml" w14:paraId="0E27B00A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60061E4C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44EAFD9C" wp14:textId="77777777">
      <w:pPr>
        <w:pStyle w:val="Normal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</w:r>
    </w:p>
    <w:p xmlns:wp14="http://schemas.microsoft.com/office/word/2010/wordml" w14:paraId="0E87BF3A" wp14:textId="77777777">
      <w:pPr>
        <w:pStyle w:val="Heading2"/>
        <w:rPr>
          <w:rFonts w:ascii="Calibri" w:hAnsi="Calibri" w:eastAsia="Calibri" w:cs="Calibri"/>
          <w:b/>
          <w:b/>
        </w:rPr>
      </w:pPr>
      <w:bookmarkStart w:name="_1fob9te" w:id="2"/>
      <w:bookmarkEnd w:id="2"/>
      <w:r>
        <w:rPr>
          <w:rFonts w:ascii="Calibri" w:hAnsi="Calibri" w:eastAsia="Calibri" w:cs="Calibri"/>
          <w:b/>
        </w:rPr>
        <w:t>Liite 1.</w:t>
      </w:r>
      <w:r>
        <w:rPr>
          <w:rFonts w:ascii="Calibri" w:hAnsi="Calibri" w:eastAsia="Calibri" w:cs="Calibri"/>
          <w:b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</w:rPr>
        <w:t>Taulukko TKI-toimintojen kriittisyyden tulkintaan</w:t>
      </w:r>
    </w:p>
    <w:p xmlns:wp14="http://schemas.microsoft.com/office/word/2010/wordml" w14:paraId="53FBC877" wp14:textId="77777777">
      <w:pPr>
        <w:pStyle w:val="Normal"/>
        <w:spacing w:before="0" w:after="160" w:line="25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00B050"/>
          <w:sz w:val="20"/>
          <w:szCs w:val="20"/>
        </w:rPr>
        <w:t xml:space="preserve">Vihreä: </w:t>
      </w:r>
      <w:r>
        <w:rPr>
          <w:rFonts w:ascii="Calibri" w:hAnsi="Calibri" w:eastAsia="Calibri" w:cs="Calibri"/>
          <w:sz w:val="20"/>
          <w:szCs w:val="20"/>
        </w:rPr>
        <w:t xml:space="preserve">TKI-toiminnot, joissa työskentelemään valituille henkilöille on melko yksiselitteisesti mahdollistettava työskentely valituissa tiloissa; </w:t>
      </w:r>
      <w:r>
        <w:rPr>
          <w:rFonts w:ascii="Calibri" w:hAnsi="Calibri" w:eastAsia="Calibri" w:cs="Calibri"/>
          <w:color w:val="C00000"/>
          <w:sz w:val="20"/>
          <w:szCs w:val="20"/>
        </w:rPr>
        <w:t>punainen:</w:t>
      </w:r>
      <w:r>
        <w:rPr>
          <w:rFonts w:ascii="Calibri" w:hAnsi="Calibri" w:eastAsia="Calibri" w:cs="Calibri"/>
          <w:sz w:val="20"/>
          <w:szCs w:val="20"/>
        </w:rPr>
        <w:t xml:space="preserve"> TKI-toiminnot, jotka melko yksiselitteisesti </w:t>
      </w:r>
      <w:r>
        <w:rPr>
          <w:rFonts w:ascii="Calibri" w:hAnsi="Calibri" w:eastAsia="Calibri" w:cs="Calibri"/>
          <w:i/>
          <w:sz w:val="20"/>
          <w:szCs w:val="20"/>
        </w:rPr>
        <w:t xml:space="preserve">eivät </w:t>
      </w:r>
      <w:r>
        <w:rPr>
          <w:rFonts w:ascii="Calibri" w:hAnsi="Calibri" w:eastAsia="Calibri" w:cs="Calibri"/>
          <w:sz w:val="20"/>
          <w:szCs w:val="20"/>
        </w:rPr>
        <w:t xml:space="preserve">edellytä fyysistä työskentelyä tiloissa; </w:t>
      </w:r>
      <w:r>
        <w:rPr>
          <w:rFonts w:ascii="Calibri" w:hAnsi="Calibri" w:eastAsia="Calibri" w:cs="Calibri"/>
          <w:color w:val="BF8F00"/>
          <w:sz w:val="20"/>
          <w:szCs w:val="20"/>
        </w:rPr>
        <w:t>keltainen:</w:t>
      </w:r>
      <w:r>
        <w:rPr>
          <w:rFonts w:ascii="Calibri" w:hAnsi="Calibri" w:eastAsia="Calibri" w:cs="Calibri"/>
          <w:sz w:val="20"/>
          <w:szCs w:val="20"/>
        </w:rPr>
        <w:t xml:space="preserve"> TKI-toiminnot, jotka edellyttävät merkittävää tapauskohtaista harkintaa rehtorilta tai hänen delegoimaltaan henkilöltä. </w:t>
      </w:r>
    </w:p>
    <w:p xmlns:wp14="http://schemas.microsoft.com/office/word/2010/wordml" w14:paraId="0E5301DB" wp14:textId="77777777"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Taulukko on muotoiltu Suomen yliopistojen rehtorineuvosto Unifi ry:n tutkimusvararehtorikokouksessa hyvien käytänteiden levittämiseksi.</w:t>
      </w:r>
    </w:p>
    <w:tbl>
      <w:tblPr>
        <w:tblStyle w:val="Table1"/>
        <w:tblW w:w="10207" w:type="dxa"/>
        <w:jc w:val="left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26"/>
        <w:gridCol w:w="2320"/>
        <w:gridCol w:w="2410"/>
        <w:gridCol w:w="2450"/>
      </w:tblGrid>
      <w:tr xmlns:wp14="http://schemas.microsoft.com/office/word/2010/wordml" w14:paraId="0FD244D0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bottom"/>
          </w:tcPr>
          <w:p w14:paraId="4B94D5A5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i/>
                <w:sz w:val="18"/>
                <w:szCs w:val="18"/>
              </w:rPr>
            </w:r>
          </w:p>
        </w:tc>
        <w:tc>
          <w:tcPr>
            <w:tcW w:w="7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0E5CCEB" wp14:textId="7777777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i/>
                <w:sz w:val="18"/>
                <w:szCs w:val="18"/>
              </w:rPr>
              <w:t>(ii) Henkilöstön fyysisen läsnäolon kriittisyys TKI-toiminnolle</w:t>
            </w:r>
          </w:p>
        </w:tc>
      </w:tr>
      <w:tr xmlns:wp14="http://schemas.microsoft.com/office/word/2010/wordml" w14:paraId="53A9ABF0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  <w:vAlign w:val="bottom"/>
          </w:tcPr>
          <w:p w14:paraId="68AD55BB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i/>
                <w:sz w:val="18"/>
                <w:szCs w:val="18"/>
              </w:rPr>
              <w:t>(i) TKI-toiminnon häiriöttömän/lyhyen ajan jatkuvuuden kriittisyys:</w:t>
            </w: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TKI-toiminta…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DA7D3F5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Henkilöstön fyysinen läsnäolo kriittistä ko. TKI-työlle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9E954DD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Henkilöstön fyysinen läsnäolo kriittistä ko. TKI-laitteiston/omaisuuden/ aineiston ylläpidolle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27CDA10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Henkilöstön fyysinen läsnäolo ei kriittistä ko. TKI-toiminnolle (lyhyellä aikavälillä)</w:t>
            </w:r>
          </w:p>
        </w:tc>
      </w:tr>
      <w:tr xmlns:wp14="http://schemas.microsoft.com/office/word/2010/wordml" w14:paraId="26BD85C7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FC68F85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joka on kriittistä korona-epidemian tai huoltovarmuuden kannalta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8C3A98E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rokotusten testaaminen testihenkilöillä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915ACD6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näytteiden säilöminen ja turvaaminen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9C7BBBA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julkaisujen kirjoittaminen virologiaan liittyen</w:t>
            </w:r>
          </w:p>
        </w:tc>
      </w:tr>
      <w:tr xmlns:wp14="http://schemas.microsoft.com/office/word/2010/wordml" w14:paraId="0FD8E36F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CDA6F2E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joka on viranomaistyyppistä (tai toimittaa/vastaanottaa materiaaleja tai tuotoksia viranomaisille/viranomaisilta)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8715AAF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Eläinsairaala, Verifin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0A3A3E0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PET-keskus, Seismologian tutkimuslaitos, Sodankylän Geofysiikan Observatorio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B56384B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viranomaisten toimeksi antamat kyselytutkimukset (jotka mahdollista tehdä etänä)</w:t>
            </w:r>
          </w:p>
        </w:tc>
      </w:tr>
      <w:tr xmlns:wp14="http://schemas.microsoft.com/office/word/2010/wordml" w14:paraId="6D1CFB12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74DFA7B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joka perustuu vika-alttiille tai jatkuvasti ylläpidettäville laitteistoille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E82FE82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potilasnäyte-lähetysten vastaanotto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77270664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pakastimet, biopankit, nestetyppi/nestehelium-mittalaitteet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F40201C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ohjelmistot/ ohjelmistokehitys (joka mahdollista huoltaa etänä)</w:t>
            </w:r>
          </w:p>
        </w:tc>
      </w:tr>
      <w:tr xmlns:wp14="http://schemas.microsoft.com/office/word/2010/wordml" w14:paraId="4F11EFC2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9A9DA7D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joka perustuu elossa pidettäviin tai pian ”pilalle” meneviin, kriittisiin materiaaleihin tai aineistoihin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6DC0348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koe-eläinyksiköt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1177CF1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elollisiin näytteisiin liittyvät aineistot ja mittaukset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B911CB8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reaaliaikainen markkinadata (jonka voi kerätä/analysoida etänä)</w:t>
            </w:r>
          </w:p>
        </w:tc>
      </w:tr>
      <w:tr xmlns:wp14="http://schemas.microsoft.com/office/word/2010/wordml" w14:paraId="40FA00E8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70AAA5D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joka perustuu säännöllisiin fyysisiin/manuaalisiin (aikasarja)mittauksiin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2AA226F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ilmanlaatu-mittaukset ja vastaavat pitkäaikaiset aikasarjamittaukset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02C8F7C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B050"/>
                <w:sz w:val="18"/>
                <w:szCs w:val="18"/>
              </w:rPr>
              <w:t>Esim. ilmanlaatu-mittaukset ja vastaavat pitkäaikaiset aikasarjamittaukset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47EB50A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terveysseuranta-mittaukset vastaanotolla (jotka mahdollista siirtää)</w:t>
            </w:r>
          </w:p>
          <w:p w14:paraId="7A5647BA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mittaukset, jotka tehdään yliopistojen tilojen ulkopuolella (mm. metsässä)</w:t>
            </w:r>
          </w:p>
        </w:tc>
      </w:tr>
      <w:tr xmlns:wp14="http://schemas.microsoft.com/office/word/2010/wordml" w14:paraId="5DCDFF4D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1577934C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joka perustuu ei-säännöllisiin fyysisiin/manuaalisiin mittauksiin tai kokeisiin</w:t>
            </w:r>
          </w:p>
          <w:p w14:paraId="3DEEC669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E486353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kiireettömät laboratoriokokeet ja mittaukset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0C087CD2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kiireettömät laboratoriokokeet ja mittaukset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7FAFEDD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automatisoidut laboratoriokokeet ja mittaukset (jotka mahdollista tehdä etänä)</w:t>
            </w:r>
          </w:p>
        </w:tc>
      </w:tr>
      <w:tr xmlns:wp14="http://schemas.microsoft.com/office/word/2010/wordml" w14:paraId="0D100C4E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CB050C2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 xml:space="preserve">jonka häiriötön jatkuvuus on kriittistä yliopiston rahoitukselle tai muulle toiminnalle 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D940DCC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BF8F00"/>
                <w:sz w:val="18"/>
                <w:szCs w:val="18"/>
              </w:rPr>
              <w:t>Esim. merkittävät yritystilaustutkimukset, jotka perustuvat fyysisiin/manuaalisiin mittauksiin tai kokeisiin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182CDE7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BF8F00"/>
                <w:sz w:val="18"/>
                <w:szCs w:val="18"/>
              </w:rPr>
              <w:t>Esim. säännöllistä huoltoa vaativat strategiset infrastruktuurit tai laitteistot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64AA38F9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 xml:space="preserve">Esim. merkittävät tilaustutkimukset, jotka eivät perustu fyysisiin/manuaalisiin mittauksiin tai kokeisiin </w:t>
            </w:r>
          </w:p>
        </w:tc>
      </w:tr>
      <w:tr xmlns:wp14="http://schemas.microsoft.com/office/word/2010/wordml" w14:paraId="554BF6E3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2A1B4AE1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 xml:space="preserve">jonka häiriötön jatkuvuus on kriittistä yksittäisen tutkimusryhmän tai tutkijan edistymiselle 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51B1B5A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BF8F00"/>
                <w:sz w:val="18"/>
                <w:szCs w:val="18"/>
              </w:rPr>
              <w:t xml:space="preserve">Esim. väitöskirjan edistymiselle keskeiset fyysiset/manuaaliset kokeet ja mittaroinnit. </w:t>
            </w:r>
          </w:p>
          <w:p w14:paraId="3656B9AB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BF8F00"/>
                <w:sz w:val="18"/>
                <w:szCs w:val="18"/>
              </w:rPr>
            </w:r>
          </w:p>
          <w:p w14:paraId="4D0DDE94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BF8F00"/>
                <w:sz w:val="18"/>
                <w:szCs w:val="18"/>
              </w:rPr>
              <w:t>Esim. aikataulutetut laboratoriomittaukset, joihin ei saada uutta aikaa kuukausiin.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296E44D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BF8F00"/>
                <w:sz w:val="18"/>
                <w:szCs w:val="18"/>
              </w:rPr>
              <w:t>Esim. säännöllistä fyysistä huoltoa vaativat yksittäiset laboratoriolaitteistot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3C47FF38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BF8F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tulosten raportointi ja julkaisujen kirjoittaminen</w:t>
            </w:r>
          </w:p>
        </w:tc>
      </w:tr>
      <w:tr xmlns:wp14="http://schemas.microsoft.com/office/word/2010/wordml" w14:paraId="3D79A840" wp14:textId="77777777">
        <w:trPr/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EAA8E2F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i/>
                <w:i/>
                <w:sz w:val="18"/>
                <w:szCs w:val="18"/>
              </w:rPr>
            </w:pPr>
            <w:r>
              <w:rPr>
                <w:rFonts w:ascii="Calibri" w:hAnsi="Calibri" w:eastAsia="Calibri" w:cs="Calibri"/>
                <w:i/>
                <w:sz w:val="18"/>
                <w:szCs w:val="18"/>
              </w:rPr>
              <w:t>jonka saumaton jatkuvuus ei ole kriittistä lyhyellä aikavälillä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457E9C7F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kirjasto-/arkisto-aineistoihin perustuvat tutkimukset (jotka mahdollista analysoida myöhemmin)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5BD816EC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 xml:space="preserve">Esim. seuranta-aineistot tai laitteistot, jotka voidaan täydentää/päivittää myöhemmin 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shd w:val="clear" w:fill="auto"/>
          </w:tcPr>
          <w:p w14:paraId="7E2C1008" wp14:textId="77777777">
            <w:pPr>
              <w:pStyle w:val="Normal"/>
              <w:spacing w:line="240" w:lineRule="auto"/>
              <w:rPr>
                <w:rFonts w:ascii="Calibri" w:hAnsi="Calibri" w:eastAsia="Calibri" w:cs="Calibri"/>
                <w:color w:val="C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C00000"/>
                <w:sz w:val="18"/>
                <w:szCs w:val="18"/>
              </w:rPr>
              <w:t>Esim. digitaalisiin arkistoaineistoihin perustuvat tutkimukset (jotka mahdollista kerätä etänä)</w:t>
            </w:r>
          </w:p>
        </w:tc>
      </w:tr>
    </w:tbl>
    <w:p xmlns:wp14="http://schemas.microsoft.com/office/word/2010/wordml" w14:paraId="45FB0818" wp14:textId="77777777">
      <w:pPr>
        <w:pStyle w:val="Normal"/>
        <w:spacing w:before="0" w:after="160" w:line="25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049F31CB" wp14:textId="77777777">
      <w:pPr>
        <w:pStyle w:val="Normal"/>
        <w:spacing w:before="0" w:after="160" w:line="259" w:lineRule="auto"/>
        <w:rPr/>
      </w:pPr>
      <w:r>
        <w:rPr/>
      </w:r>
    </w:p>
    <w:sectPr>
      <w:type w:val="nextPage"/>
      <w:pgSz w:w="12240" w:h="15840" w:orient="portrait"/>
      <w:pgMar w:top="1440" w:right="1440" w:bottom="1440" w:left="1440" w:header="0" w:footer="0" w:gutter="0"/>
      <w:pgNumType w:fmt="decimal" w:start="1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Symbols">
    <w:charset w:val="01"/>
    <w:family w:val="auto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4"/>
        <w:u w:val="none"/>
        <w:szCs w:val="24"/>
        <w:rFonts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 w:cs="Noto Sans Symbols"/>
        <w:u w:val="none"/>
        <w:rFonts w:cs="Noto Sans Symbol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u w:val="none"/>
        <w:szCs w:val="24"/>
        <w:rFonts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 w:cs="Noto Sans Symbols"/>
        <w:u w:val="none"/>
        <w:rFonts w:cs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hint="default" w:ascii="Noto Sans Symbols" w:hAnsi="Noto Sans Symbols" w:cs="Noto Sans Symbols"/>
        <w:sz w:val="24"/>
        <w:u w:val="none"/>
        <w:szCs w:val="24"/>
        <w:rFonts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 w:cs="Noto Sans Symbols"/>
        <w:u w:val="none"/>
        <w:rFonts w:cs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sz w:val="24"/>
        <w:u w:val="none"/>
        <w:szCs w:val="24"/>
        <w:rFonts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 w:cs="Noto Sans Symbols"/>
        <w:u w:val="none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sz w:val="24"/>
        <w:u w:val="none"/>
        <w:szCs w:val="24"/>
        <w:rFonts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hint="default" w:ascii="Noto Sans Symbols" w:hAnsi="Noto Sans Symbols" w:cs="Noto Sans Symbols"/>
        <w:u w:val="none"/>
        <w:rFonts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 w:cs="Noto Sans Symbols"/>
        <w:u w:val="none"/>
        <w:rFonts w:cs="Noto Sans Symbol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ompat>
    <w:compatSetting w:name="compatibilityMode" w:uri="http://schemas.microsoft.com/office/word" w:val="15"/>
  </w:compat>
  <w:themeFontLang w:val="" w:eastAsia="" w:bidi=""/>
  <w14:docId w14:val="04B3AC2F"/>
  <w15:docId w15:val="{fbd7e877-b95b-42d8-ada4-f8c01d52b927}"/>
  <w:rsids>
    <w:rsidRoot w:val="0F23C47F"/>
    <w:rsid w:val="0F23C47F"/>
    <w:rsid w:val="3CDC6DCB"/>
    <w:rsid w:val="42D95637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Arial"/>
        <w:sz w:val="22"/>
        <w:szCs w:val="22"/>
        <w:lang w:val="fi-FI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="276" w:lineRule="auto"/>
    </w:pPr>
    <w:rPr>
      <w:rFonts w:ascii="Arial" w:hAnsi="Arial" w:eastAsia="Arial" w:cs="Arial"/>
      <w:color w:val="auto"/>
      <w:kern w:val="0"/>
      <w:sz w:val="22"/>
      <w:szCs w:val="22"/>
      <w:lang w:val="fi-FI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widowControl/>
      <w:pBdr/>
      <w:shd w:val="clear" w:fill="auto"/>
      <w:spacing w:before="400" w:after="12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val="clear" w:fill="auto"/>
      <w:vertAlign w:val="baseline"/>
    </w:rPr>
  </w:style>
  <w:style w:type="paragraph" w:styleId="Heading2">
    <w:name w:val="heading 2"/>
    <w:basedOn w:val="Normal1"/>
    <w:next w:val="Normal"/>
    <w:qFormat/>
    <w:pPr>
      <w:keepNext w:val="true"/>
      <w:keepLines/>
      <w:widowControl/>
      <w:pBdr/>
      <w:shd w:val="clear" w:fill="auto"/>
      <w:spacing w:before="360" w:after="12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val="clear" w:fill="auto"/>
      <w:vertAlign w:val="baseline"/>
    </w:rPr>
  </w:style>
  <w:style w:type="paragraph" w:styleId="Heading3">
    <w:name w:val="heading 3"/>
    <w:basedOn w:val="Normal1"/>
    <w:next w:val="Normal"/>
    <w:qFormat/>
    <w:pPr>
      <w:keepNext w:val="true"/>
      <w:keepLines/>
      <w:widowControl/>
      <w:pBdr/>
      <w:shd w:val="clear" w:fill="auto"/>
      <w:spacing w:before="320" w:after="8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val="clear" w:fill="auto"/>
      <w:vertAlign w:val="baseline"/>
    </w:rPr>
  </w:style>
  <w:style w:type="paragraph" w:styleId="Heading4">
    <w:name w:val="heading 4"/>
    <w:basedOn w:val="Normal1"/>
    <w:next w:val="Normal"/>
    <w:qFormat/>
    <w:pPr>
      <w:keepNext w:val="true"/>
      <w:keepLines/>
      <w:widowControl/>
      <w:pBdr/>
      <w:shd w:val="clear" w:fill="auto"/>
      <w:spacing w:before="280" w:after="8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1"/>
    <w:next w:val="Normal"/>
    <w:qFormat/>
    <w:pPr>
      <w:keepNext w:val="true"/>
      <w:keepLines/>
      <w:widowControl/>
      <w:pBdr/>
      <w:shd w:val="clear" w:fill="auto"/>
      <w:spacing w:before="240" w:after="8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1"/>
    <w:next w:val="Normal"/>
    <w:qFormat/>
    <w:pPr>
      <w:keepNext w:val="true"/>
      <w:keepLines/>
      <w:widowControl/>
      <w:pBdr/>
      <w:shd w:val="clear" w:fill="auto"/>
      <w:spacing w:before="240" w:after="80" w:line="240" w:lineRule="auto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val="clear" w:fill="auto"/>
      <w:vertAlign w:val="baseline"/>
    </w:rPr>
  </w:style>
  <w:style w:type="character" w:styleId="ListLabel1">
    <w:name w:val="ListLabel 1"/>
    <w:qFormat/>
    <w:rPr>
      <w:rFonts w:ascii="Calibri" w:hAnsi="Calibri" w:eastAsia="Noto Sans Symbols" w:cs="Noto Sans Symbols"/>
      <w:sz w:val="24"/>
      <w:szCs w:val="24"/>
      <w:u w:val="none"/>
    </w:rPr>
  </w:style>
  <w:style w:type="character" w:styleId="ListLabel2">
    <w:name w:val="ListLabel 2"/>
    <w:qFormat/>
    <w:rPr>
      <w:rFonts w:eastAsia="Noto Sans Symbols" w:cs="Noto Sans Symbols"/>
      <w:u w:val="none"/>
    </w:rPr>
  </w:style>
  <w:style w:type="character" w:styleId="ListLabel3">
    <w:name w:val="ListLabel 3"/>
    <w:qFormat/>
    <w:rPr>
      <w:rFonts w:eastAsia="Noto Sans Symbols" w:cs="Noto Sans Symbols"/>
      <w:u w:val="none"/>
    </w:rPr>
  </w:style>
  <w:style w:type="character" w:styleId="ListLabel4">
    <w:name w:val="ListLabel 4"/>
    <w:qFormat/>
    <w:rPr>
      <w:rFonts w:eastAsia="Noto Sans Symbols" w:cs="Noto Sans Symbols"/>
      <w:u w:val="none"/>
    </w:rPr>
  </w:style>
  <w:style w:type="character" w:styleId="ListLabel5">
    <w:name w:val="ListLabel 5"/>
    <w:qFormat/>
    <w:rPr>
      <w:rFonts w:eastAsia="Noto Sans Symbols" w:cs="Noto Sans Symbols"/>
      <w:u w:val="none"/>
    </w:rPr>
  </w:style>
  <w:style w:type="character" w:styleId="ListLabel6">
    <w:name w:val="ListLabel 6"/>
    <w:qFormat/>
    <w:rPr>
      <w:rFonts w:eastAsia="Noto Sans Symbols" w:cs="Noto Sans Symbols"/>
      <w:u w:val="none"/>
    </w:rPr>
  </w:style>
  <w:style w:type="character" w:styleId="ListLabel7">
    <w:name w:val="ListLabel 7"/>
    <w:qFormat/>
    <w:rPr>
      <w:rFonts w:eastAsia="Noto Sans Symbols" w:cs="Noto Sans Symbols"/>
      <w:u w:val="none"/>
    </w:rPr>
  </w:style>
  <w:style w:type="character" w:styleId="ListLabel8">
    <w:name w:val="ListLabel 8"/>
    <w:qFormat/>
    <w:rPr>
      <w:rFonts w:eastAsia="Noto Sans Symbols" w:cs="Noto Sans Symbols"/>
      <w:u w:val="none"/>
    </w:rPr>
  </w:style>
  <w:style w:type="character" w:styleId="ListLabel9">
    <w:name w:val="ListLabel 9"/>
    <w:qFormat/>
    <w:rPr>
      <w:rFonts w:eastAsia="Noto Sans Symbols" w:cs="Noto Sans Symbols"/>
      <w:u w:val="none"/>
    </w:rPr>
  </w:style>
  <w:style w:type="character" w:styleId="ListLabel10">
    <w:name w:val="ListLabel 10"/>
    <w:qFormat/>
    <w:rPr>
      <w:rFonts w:ascii="Calibri" w:hAnsi="Calibri" w:eastAsia="Noto Sans Symbols" w:cs="Noto Sans Symbols"/>
      <w:sz w:val="24"/>
      <w:szCs w:val="24"/>
      <w:u w:val="none"/>
    </w:rPr>
  </w:style>
  <w:style w:type="character" w:styleId="ListLabel11">
    <w:name w:val="ListLabel 11"/>
    <w:qFormat/>
    <w:rPr>
      <w:rFonts w:eastAsia="Noto Sans Symbols" w:cs="Noto Sans Symbols"/>
      <w:u w:val="none"/>
    </w:rPr>
  </w:style>
  <w:style w:type="character" w:styleId="ListLabel12">
    <w:name w:val="ListLabel 12"/>
    <w:qFormat/>
    <w:rPr>
      <w:rFonts w:eastAsia="Noto Sans Symbols" w:cs="Noto Sans Symbols"/>
      <w:u w:val="none"/>
    </w:rPr>
  </w:style>
  <w:style w:type="character" w:styleId="ListLabel13">
    <w:name w:val="ListLabel 13"/>
    <w:qFormat/>
    <w:rPr>
      <w:rFonts w:eastAsia="Noto Sans Symbols" w:cs="Noto Sans Symbols"/>
      <w:u w:val="none"/>
    </w:rPr>
  </w:style>
  <w:style w:type="character" w:styleId="ListLabel14">
    <w:name w:val="ListLabel 14"/>
    <w:qFormat/>
    <w:rPr>
      <w:rFonts w:eastAsia="Noto Sans Symbols" w:cs="Noto Sans Symbols"/>
      <w:u w:val="none"/>
    </w:rPr>
  </w:style>
  <w:style w:type="character" w:styleId="ListLabel15">
    <w:name w:val="ListLabel 15"/>
    <w:qFormat/>
    <w:rPr>
      <w:rFonts w:eastAsia="Noto Sans Symbols" w:cs="Noto Sans Symbols"/>
      <w:u w:val="none"/>
    </w:rPr>
  </w:style>
  <w:style w:type="character" w:styleId="ListLabel16">
    <w:name w:val="ListLabel 16"/>
    <w:qFormat/>
    <w:rPr>
      <w:rFonts w:eastAsia="Noto Sans Symbols" w:cs="Noto Sans Symbols"/>
      <w:u w:val="none"/>
    </w:rPr>
  </w:style>
  <w:style w:type="character" w:styleId="ListLabel17">
    <w:name w:val="ListLabel 17"/>
    <w:qFormat/>
    <w:rPr>
      <w:rFonts w:eastAsia="Noto Sans Symbols" w:cs="Noto Sans Symbols"/>
      <w:u w:val="none"/>
    </w:rPr>
  </w:style>
  <w:style w:type="character" w:styleId="ListLabel18">
    <w:name w:val="ListLabel 18"/>
    <w:qFormat/>
    <w:rPr>
      <w:rFonts w:eastAsia="Noto Sans Symbols" w:cs="Noto Sans Symbols"/>
      <w:u w:val="none"/>
    </w:rPr>
  </w:style>
  <w:style w:type="character" w:styleId="ListLabel19">
    <w:name w:val="ListLabel 19"/>
    <w:qFormat/>
    <w:rPr>
      <w:rFonts w:ascii="Calibri" w:hAnsi="Calibri" w:eastAsia="Noto Sans Symbols" w:cs="Noto Sans Symbols"/>
      <w:sz w:val="24"/>
      <w:szCs w:val="24"/>
      <w:u w:val="none"/>
    </w:rPr>
  </w:style>
  <w:style w:type="character" w:styleId="ListLabel20">
    <w:name w:val="ListLabel 20"/>
    <w:qFormat/>
    <w:rPr>
      <w:rFonts w:eastAsia="Noto Sans Symbols" w:cs="Noto Sans Symbols"/>
      <w:u w:val="none"/>
    </w:rPr>
  </w:style>
  <w:style w:type="character" w:styleId="ListLabel21">
    <w:name w:val="ListLabel 21"/>
    <w:qFormat/>
    <w:rPr>
      <w:rFonts w:eastAsia="Noto Sans Symbols" w:cs="Noto Sans Symbols"/>
      <w:u w:val="none"/>
    </w:rPr>
  </w:style>
  <w:style w:type="character" w:styleId="ListLabel22">
    <w:name w:val="ListLabel 22"/>
    <w:qFormat/>
    <w:rPr>
      <w:rFonts w:eastAsia="Noto Sans Symbols" w:cs="Noto Sans Symbols"/>
      <w:u w:val="none"/>
    </w:rPr>
  </w:style>
  <w:style w:type="character" w:styleId="ListLabel23">
    <w:name w:val="ListLabel 23"/>
    <w:qFormat/>
    <w:rPr>
      <w:rFonts w:eastAsia="Noto Sans Symbols" w:cs="Noto Sans Symbols"/>
      <w:u w:val="none"/>
    </w:rPr>
  </w:style>
  <w:style w:type="character" w:styleId="ListLabel24">
    <w:name w:val="ListLabel 24"/>
    <w:qFormat/>
    <w:rPr>
      <w:rFonts w:eastAsia="Noto Sans Symbols" w:cs="Noto Sans Symbols"/>
      <w:u w:val="none"/>
    </w:rPr>
  </w:style>
  <w:style w:type="character" w:styleId="ListLabel25">
    <w:name w:val="ListLabel 25"/>
    <w:qFormat/>
    <w:rPr>
      <w:rFonts w:eastAsia="Noto Sans Symbols" w:cs="Noto Sans Symbols"/>
      <w:u w:val="none"/>
    </w:rPr>
  </w:style>
  <w:style w:type="character" w:styleId="ListLabel26">
    <w:name w:val="ListLabel 26"/>
    <w:qFormat/>
    <w:rPr>
      <w:rFonts w:eastAsia="Noto Sans Symbols" w:cs="Noto Sans Symbols"/>
      <w:u w:val="none"/>
    </w:rPr>
  </w:style>
  <w:style w:type="character" w:styleId="ListLabel27">
    <w:name w:val="ListLabel 27"/>
    <w:qFormat/>
    <w:rPr>
      <w:rFonts w:eastAsia="Noto Sans Symbols" w:cs="Noto Sans Symbols"/>
      <w:u w:val="none"/>
    </w:rPr>
  </w:style>
  <w:style w:type="character" w:styleId="ListLabel28">
    <w:name w:val="ListLabel 28"/>
    <w:qFormat/>
    <w:rPr>
      <w:rFonts w:ascii="Calibri" w:hAnsi="Calibri" w:eastAsia="Noto Sans Symbols" w:cs="Noto Sans Symbols"/>
      <w:sz w:val="24"/>
      <w:szCs w:val="24"/>
      <w:u w:val="none"/>
    </w:rPr>
  </w:style>
  <w:style w:type="character" w:styleId="ListLabel29">
    <w:name w:val="ListLabel 29"/>
    <w:qFormat/>
    <w:rPr>
      <w:rFonts w:eastAsia="Noto Sans Symbols" w:cs="Noto Sans Symbols"/>
      <w:u w:val="none"/>
    </w:rPr>
  </w:style>
  <w:style w:type="character" w:styleId="ListLabel30">
    <w:name w:val="ListLabel 30"/>
    <w:qFormat/>
    <w:rPr>
      <w:rFonts w:eastAsia="Noto Sans Symbols" w:cs="Noto Sans Symbols"/>
      <w:u w:val="none"/>
    </w:rPr>
  </w:style>
  <w:style w:type="character" w:styleId="ListLabel31">
    <w:name w:val="ListLabel 31"/>
    <w:qFormat/>
    <w:rPr>
      <w:rFonts w:eastAsia="Noto Sans Symbols" w:cs="Noto Sans Symbols"/>
      <w:u w:val="none"/>
    </w:rPr>
  </w:style>
  <w:style w:type="character" w:styleId="ListLabel32">
    <w:name w:val="ListLabel 32"/>
    <w:qFormat/>
    <w:rPr>
      <w:rFonts w:eastAsia="Noto Sans Symbols" w:cs="Noto Sans Symbols"/>
      <w:u w:val="none"/>
    </w:rPr>
  </w:style>
  <w:style w:type="character" w:styleId="ListLabel33">
    <w:name w:val="ListLabel 33"/>
    <w:qFormat/>
    <w:rPr>
      <w:rFonts w:eastAsia="Noto Sans Symbols" w:cs="Noto Sans Symbols"/>
      <w:u w:val="none"/>
    </w:rPr>
  </w:style>
  <w:style w:type="character" w:styleId="ListLabel34">
    <w:name w:val="ListLabel 34"/>
    <w:qFormat/>
    <w:rPr>
      <w:rFonts w:eastAsia="Noto Sans Symbols" w:cs="Noto Sans Symbols"/>
      <w:u w:val="none"/>
    </w:rPr>
  </w:style>
  <w:style w:type="character" w:styleId="ListLabel35">
    <w:name w:val="ListLabel 35"/>
    <w:qFormat/>
    <w:rPr>
      <w:rFonts w:eastAsia="Noto Sans Symbols" w:cs="Noto Sans Symbols"/>
      <w:u w:val="none"/>
    </w:rPr>
  </w:style>
  <w:style w:type="character" w:styleId="ListLabel36">
    <w:name w:val="ListLabel 36"/>
    <w:qFormat/>
    <w:rPr>
      <w:rFonts w:eastAsia="Noto Sans Symbols" w:cs="Noto Sans Symbols"/>
      <w:u w:val="none"/>
    </w:rPr>
  </w:style>
  <w:style w:type="character" w:styleId="ListLabel37">
    <w:name w:val="ListLabel 37"/>
    <w:qFormat/>
    <w:rPr>
      <w:rFonts w:ascii="Calibri" w:hAnsi="Calibri" w:eastAsia="Noto Sans Symbols" w:cs="Noto Sans Symbols"/>
      <w:sz w:val="24"/>
      <w:szCs w:val="24"/>
      <w:u w:val="none"/>
    </w:rPr>
  </w:style>
  <w:style w:type="character" w:styleId="ListLabel38">
    <w:name w:val="ListLabel 38"/>
    <w:qFormat/>
    <w:rPr>
      <w:rFonts w:eastAsia="Noto Sans Symbols" w:cs="Noto Sans Symbols"/>
      <w:u w:val="none"/>
    </w:rPr>
  </w:style>
  <w:style w:type="character" w:styleId="ListLabel39">
    <w:name w:val="ListLabel 39"/>
    <w:qFormat/>
    <w:rPr>
      <w:rFonts w:eastAsia="Noto Sans Symbols" w:cs="Noto Sans Symbols"/>
      <w:u w:val="none"/>
    </w:rPr>
  </w:style>
  <w:style w:type="character" w:styleId="ListLabel40">
    <w:name w:val="ListLabel 40"/>
    <w:qFormat/>
    <w:rPr>
      <w:rFonts w:eastAsia="Noto Sans Symbols" w:cs="Noto Sans Symbols"/>
      <w:u w:val="none"/>
    </w:rPr>
  </w:style>
  <w:style w:type="character" w:styleId="ListLabel41">
    <w:name w:val="ListLabel 41"/>
    <w:qFormat/>
    <w:rPr>
      <w:rFonts w:eastAsia="Noto Sans Symbols" w:cs="Noto Sans Symbols"/>
      <w:u w:val="none"/>
    </w:rPr>
  </w:style>
  <w:style w:type="character" w:styleId="ListLabel42">
    <w:name w:val="ListLabel 42"/>
    <w:qFormat/>
    <w:rPr>
      <w:rFonts w:eastAsia="Noto Sans Symbols" w:cs="Noto Sans Symbols"/>
      <w:u w:val="none"/>
    </w:rPr>
  </w:style>
  <w:style w:type="character" w:styleId="ListLabel43">
    <w:name w:val="ListLabel 43"/>
    <w:qFormat/>
    <w:rPr>
      <w:rFonts w:eastAsia="Noto Sans Symbols" w:cs="Noto Sans Symbols"/>
      <w:u w:val="none"/>
    </w:rPr>
  </w:style>
  <w:style w:type="character" w:styleId="ListLabel44">
    <w:name w:val="ListLabel 44"/>
    <w:qFormat/>
    <w:rPr>
      <w:rFonts w:eastAsia="Noto Sans Symbols" w:cs="Noto Sans Symbols"/>
      <w:u w:val="none"/>
    </w:rPr>
  </w:style>
  <w:style w:type="character" w:styleId="ListLabel45">
    <w:name w:val="ListLabel 45"/>
    <w:qFormat/>
    <w:rPr>
      <w:rFonts w:eastAsia="Noto Sans Symbols" w:cs="Noto Sans Symbols"/>
      <w:u w:val="none"/>
    </w:rPr>
  </w:style>
  <w:style w:type="character" w:styleId="ListLabel46">
    <w:name w:val="ListLabel 46"/>
    <w:qFormat/>
    <w:rPr>
      <w:rFonts w:ascii="Calibri" w:hAnsi="Calibri" w:eastAsia="Calibri" w:cs="Calibri"/>
      <w:color w:val="1155CC"/>
      <w:sz w:val="24"/>
      <w:szCs w:val="24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ascii="Calibri" w:hAnsi="Calibri" w:eastAsia="Calibri" w:cs="Calibri"/>
      <w:color w:val="1155CC"/>
      <w:sz w:val="24"/>
      <w:szCs w:val="24"/>
      <w:highlight w:val="white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fi-FI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widowControl/>
      <w:pBdr/>
      <w:shd w:val="clear" w:fill="auto"/>
      <w:spacing w:before="0" w:after="6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val="clear" w:fill="auto"/>
      <w:vertAlign w:val="baseline"/>
    </w:rPr>
  </w:style>
  <w:style w:type="paragraph" w:styleId="Subtitle">
    <w:name w:val="Subtitle"/>
    <w:basedOn w:val="Normal1"/>
    <w:next w:val="Normal"/>
    <w:qFormat/>
    <w:pPr>
      <w:keepNext w:val="true"/>
      <w:keepLines/>
      <w:widowControl/>
      <w:pBdr/>
      <w:shd w:val="clear" w:fill="auto"/>
      <w:spacing w:before="0" w:after="320" w:line="240" w:lineRule="auto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val="clear" w:fill="auto"/>
      <w:vertAlign w:val="baseline"/>
    </w:rPr>
  </w:style>
  <w:style w:type="table" w:styleId="TableNormal" w:default="1">
    <w:name w:val="Normal Table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numbering" Target="numbering.xml" Id="rId3" /><Relationship Type="http://schemas.openxmlformats.org/officeDocument/2006/relationships/customXml" Target="../customXml/item1.xml" Id="rId7" /><Relationship Type="http://schemas.openxmlformats.org/officeDocument/2006/relationships/hyperlink" Target="https://patio.oulu.fi/fi/uutiset/tarkempia-maarayksia-tyoskentelysta-yliopiston-tiloissa-poikkeusolojen-aikana-1832020" TargetMode="Externa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settings" Target="settings.xml" Id="rId5" /><Relationship Type="http://schemas.openxmlformats.org/officeDocument/2006/relationships/fontTable" Target="fontTable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CB0A89D428468D9BFFD5EC121E77" ma:contentTypeVersion="2" ma:contentTypeDescription="Create a new document." ma:contentTypeScope="" ma:versionID="5142df61e1b5194c5fb0ba9e137ad4d6">
  <xsd:schema xmlns:xsd="http://www.w3.org/2001/XMLSchema" xmlns:xs="http://www.w3.org/2001/XMLSchema" xmlns:p="http://schemas.microsoft.com/office/2006/metadata/properties" xmlns:ns2="f8b712cc-cf57-443b-9c99-997eeac6a09a" targetNamespace="http://schemas.microsoft.com/office/2006/metadata/properties" ma:root="true" ma:fieldsID="929ba256427cbfa7bdf7737cc9b03ba6" ns2:_="">
    <xsd:import namespace="f8b712cc-cf57-443b-9c99-997eeac6a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12cc-cf57-443b-9c99-997eeac6a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44E3B-E45C-446E-924B-CE85D3D3386E}"/>
</file>

<file path=customXml/itemProps2.xml><?xml version="1.0" encoding="utf-8"?>
<ds:datastoreItem xmlns:ds="http://schemas.openxmlformats.org/officeDocument/2006/customXml" ds:itemID="{D98C0C00-689B-46D0-93BD-27E382EE55C6}"/>
</file>

<file path=customXml/itemProps3.xml><?xml version="1.0" encoding="utf-8"?>
<ds:datastoreItem xmlns:ds="http://schemas.openxmlformats.org/officeDocument/2006/customXml" ds:itemID="{0E4A284D-1691-4204-93D1-293456B656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Miki Kallio</lastModifiedBy>
  <revision>1</revision>
  <dc:language>en-US</dc:language>
  <dcterms:modified xsi:type="dcterms:W3CDTF">2020-03-24T10:04:54.3729409Z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0x0101003980CB0A89D428468D9BFFD5EC121E77</vt:lpwstr>
  </property>
</Properties>
</file>