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7BD9" w14:textId="2381262F" w:rsidR="00E764A7" w:rsidRDefault="00BC60DC" w:rsidP="00AA5C37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The inheritance of hypoxia-pathway tumours</w:t>
      </w:r>
    </w:p>
    <w:p w14:paraId="22511B59" w14:textId="77777777" w:rsidR="00481AF6" w:rsidRDefault="00481AF6" w:rsidP="00AA5C37">
      <w:pPr>
        <w:jc w:val="both"/>
        <w:rPr>
          <w:rFonts w:cstheme="minorHAnsi"/>
        </w:rPr>
      </w:pPr>
    </w:p>
    <w:p w14:paraId="2663A9A6" w14:textId="2BBD609F" w:rsidR="008B73BB" w:rsidRPr="00C44BCD" w:rsidRDefault="00481AF6" w:rsidP="00AA5C37">
      <w:pPr>
        <w:jc w:val="both"/>
        <w:rPr>
          <w:rFonts w:cstheme="minorHAnsi"/>
        </w:rPr>
      </w:pPr>
      <w:r>
        <w:rPr>
          <w:rFonts w:cstheme="minorHAnsi"/>
        </w:rPr>
        <w:t>Peter Ratcliffe</w:t>
      </w:r>
      <w:r w:rsidR="005B3545">
        <w:rPr>
          <w:rFonts w:cstheme="minorHAnsi"/>
        </w:rPr>
        <w:t xml:space="preserve">, </w:t>
      </w:r>
      <w:r w:rsidR="00F75CD4">
        <w:rPr>
          <w:rFonts w:cstheme="minorHAnsi"/>
        </w:rPr>
        <w:t xml:space="preserve">Tammie Bishop and </w:t>
      </w:r>
      <w:r w:rsidR="00505BCE">
        <w:rPr>
          <w:rFonts w:cstheme="minorHAnsi"/>
        </w:rPr>
        <w:t>T</w:t>
      </w:r>
      <w:r w:rsidR="005B3545">
        <w:rPr>
          <w:rFonts w:cstheme="minorHAnsi"/>
        </w:rPr>
        <w:t>om Keeley</w:t>
      </w:r>
      <w:r>
        <w:rPr>
          <w:rFonts w:cstheme="minorHAnsi"/>
        </w:rPr>
        <w:t xml:space="preserve"> </w:t>
      </w:r>
    </w:p>
    <w:p w14:paraId="58701F84" w14:textId="2DDBAC37" w:rsidR="008B73BB" w:rsidRDefault="00000000" w:rsidP="00AA5C37">
      <w:pPr>
        <w:jc w:val="both"/>
        <w:rPr>
          <w:rFonts w:cstheme="minorHAnsi"/>
        </w:rPr>
      </w:pPr>
      <w:hyperlink r:id="rId5" w:history="1">
        <w:r w:rsidR="005176E5" w:rsidRPr="0094217A">
          <w:rPr>
            <w:rStyle w:val="Hyperlink"/>
            <w:rFonts w:cstheme="minorHAnsi"/>
          </w:rPr>
          <w:t>peter.ratcliffe@ndm.ox.ac.uk</w:t>
        </w:r>
      </w:hyperlink>
      <w:r w:rsidR="005176E5">
        <w:rPr>
          <w:rFonts w:cstheme="minorHAnsi"/>
        </w:rPr>
        <w:t xml:space="preserve">, </w:t>
      </w:r>
      <w:hyperlink r:id="rId6" w:history="1">
        <w:r w:rsidR="005176E5" w:rsidRPr="0094217A">
          <w:rPr>
            <w:rStyle w:val="Hyperlink"/>
            <w:rFonts w:cstheme="minorHAnsi"/>
          </w:rPr>
          <w:t>tammie.bishop@ndm.ox.ac.uk</w:t>
        </w:r>
      </w:hyperlink>
      <w:r w:rsidR="005176E5">
        <w:rPr>
          <w:rFonts w:cstheme="minorHAnsi"/>
        </w:rPr>
        <w:t xml:space="preserve">, </w:t>
      </w:r>
      <w:hyperlink r:id="rId7" w:history="1">
        <w:r w:rsidR="005176E5" w:rsidRPr="0094217A">
          <w:rPr>
            <w:rStyle w:val="Hyperlink"/>
            <w:rFonts w:cstheme="minorHAnsi"/>
          </w:rPr>
          <w:t>thomas.keeley@ndm.ox.ac.uk</w:t>
        </w:r>
      </w:hyperlink>
    </w:p>
    <w:p w14:paraId="6075FF77" w14:textId="66C6F8A4" w:rsidR="008B73BB" w:rsidRPr="00C44BCD" w:rsidRDefault="008B73BB" w:rsidP="00AA5C37">
      <w:pPr>
        <w:jc w:val="both"/>
        <w:rPr>
          <w:rFonts w:cstheme="minorHAnsi"/>
        </w:rPr>
      </w:pPr>
      <w:r w:rsidRPr="00C44BCD">
        <w:rPr>
          <w:rFonts w:cstheme="minorHAnsi"/>
        </w:rPr>
        <w:t>Nuffield Department of Medicine, Ludwig Cancer Research Oxford</w:t>
      </w:r>
      <w:r w:rsidR="003E3C1D">
        <w:rPr>
          <w:rFonts w:cstheme="minorHAnsi"/>
        </w:rPr>
        <w:t>, University of Oxford</w:t>
      </w:r>
    </w:p>
    <w:p w14:paraId="29D66361" w14:textId="3A9083EF" w:rsidR="008B73BB" w:rsidRPr="00C44BCD" w:rsidRDefault="008B73BB" w:rsidP="00AA5C37">
      <w:pPr>
        <w:jc w:val="both"/>
        <w:rPr>
          <w:rFonts w:cstheme="minorHAnsi"/>
        </w:rPr>
      </w:pPr>
    </w:p>
    <w:p w14:paraId="20502771" w14:textId="036A5297" w:rsidR="003C6EBC" w:rsidRPr="00C44BCD" w:rsidRDefault="003C6EBC" w:rsidP="00AA5C37">
      <w:pPr>
        <w:jc w:val="both"/>
        <w:rPr>
          <w:rFonts w:cstheme="minorHAnsi"/>
          <w:b/>
          <w:bCs/>
        </w:rPr>
      </w:pPr>
      <w:r w:rsidRPr="00C44BCD">
        <w:rPr>
          <w:rFonts w:cstheme="minorHAnsi"/>
          <w:b/>
          <w:bCs/>
        </w:rPr>
        <w:t>Laboratories</w:t>
      </w:r>
    </w:p>
    <w:p w14:paraId="20EF0D1A" w14:textId="0DD65DCC" w:rsidR="003C6EBC" w:rsidRPr="00C44BCD" w:rsidRDefault="003C6EBC" w:rsidP="00AA5C37">
      <w:pPr>
        <w:jc w:val="both"/>
        <w:rPr>
          <w:rFonts w:cstheme="minorHAnsi"/>
          <w:b/>
          <w:bCs/>
        </w:rPr>
      </w:pPr>
    </w:p>
    <w:p w14:paraId="19BCABE4" w14:textId="53162CB0" w:rsidR="003C6EBC" w:rsidRPr="00C44BCD" w:rsidRDefault="00A32653" w:rsidP="00AA5C37">
      <w:pPr>
        <w:jc w:val="both"/>
        <w:rPr>
          <w:rFonts w:cstheme="minorHAnsi"/>
          <w:b/>
          <w:bCs/>
        </w:rPr>
      </w:pPr>
      <w:r w:rsidRPr="00C44BCD">
        <w:rPr>
          <w:rFonts w:cstheme="minorHAnsi"/>
        </w:rPr>
        <w:t>The student will be supervised by</w:t>
      </w:r>
      <w:r w:rsidR="00BC3F7A">
        <w:rPr>
          <w:rFonts w:cstheme="minorHAnsi"/>
        </w:rPr>
        <w:t>: Professor Peter Ratcliffe</w:t>
      </w:r>
      <w:r w:rsidR="002334A7">
        <w:rPr>
          <w:rFonts w:cstheme="minorHAnsi"/>
        </w:rPr>
        <w:t>,</w:t>
      </w:r>
      <w:r w:rsidR="00BC3F7A">
        <w:rPr>
          <w:rFonts w:cstheme="minorHAnsi"/>
        </w:rPr>
        <w:t xml:space="preserve"> Dr Tammie Bishop </w:t>
      </w:r>
      <w:r w:rsidR="007A2148">
        <w:rPr>
          <w:rFonts w:cstheme="minorHAnsi"/>
        </w:rPr>
        <w:t xml:space="preserve">and Dr Tom Keeley </w:t>
      </w:r>
      <w:r w:rsidR="00BC3F7A">
        <w:rPr>
          <w:rFonts w:cstheme="minorHAnsi"/>
        </w:rPr>
        <w:t>at Ludwig</w:t>
      </w:r>
      <w:r w:rsidR="00307D7F">
        <w:rPr>
          <w:rFonts w:cstheme="minorHAnsi"/>
        </w:rPr>
        <w:t>,</w:t>
      </w:r>
      <w:r w:rsidR="00BC3F7A">
        <w:rPr>
          <w:rFonts w:cstheme="minorHAnsi"/>
        </w:rPr>
        <w:t xml:space="preserve"> Oxford.</w:t>
      </w:r>
      <w:r w:rsidRPr="00C44BCD">
        <w:rPr>
          <w:rFonts w:cstheme="minorHAnsi"/>
        </w:rPr>
        <w:t xml:space="preserve"> </w:t>
      </w:r>
      <w:r w:rsidR="005540ED">
        <w:rPr>
          <w:rFonts w:cstheme="minorHAnsi"/>
        </w:rPr>
        <w:t>Their</w:t>
      </w:r>
      <w:r w:rsidR="007A34CF" w:rsidRPr="00C44BCD">
        <w:rPr>
          <w:rFonts w:cstheme="minorHAnsi"/>
        </w:rPr>
        <w:t xml:space="preserve"> research group aims to </w:t>
      </w:r>
      <w:r w:rsidR="005540ED">
        <w:rPr>
          <w:rFonts w:cstheme="minorHAnsi"/>
        </w:rPr>
        <w:t xml:space="preserve">understand the mechanisms of hypoxia </w:t>
      </w:r>
      <w:proofErr w:type="spellStart"/>
      <w:r w:rsidR="005540ED">
        <w:rPr>
          <w:rFonts w:cstheme="minorHAnsi"/>
        </w:rPr>
        <w:t>signalling</w:t>
      </w:r>
      <w:proofErr w:type="spellEnd"/>
      <w:r w:rsidR="008F66D7">
        <w:rPr>
          <w:rFonts w:cstheme="minorHAnsi"/>
        </w:rPr>
        <w:t xml:space="preserve"> </w:t>
      </w:r>
      <w:r w:rsidR="00FC75F1">
        <w:rPr>
          <w:rFonts w:cstheme="minorHAnsi"/>
        </w:rPr>
        <w:t>and their relevance to</w:t>
      </w:r>
      <w:r w:rsidR="00FE1355">
        <w:rPr>
          <w:rFonts w:cstheme="minorHAnsi"/>
        </w:rPr>
        <w:t xml:space="preserve"> the developmental origins of</w:t>
      </w:r>
      <w:r w:rsidR="005540ED">
        <w:rPr>
          <w:rFonts w:cstheme="minorHAnsi"/>
        </w:rPr>
        <w:t xml:space="preserve"> </w:t>
      </w:r>
      <w:r w:rsidR="00952D2E">
        <w:rPr>
          <w:rFonts w:cstheme="minorHAnsi"/>
        </w:rPr>
        <w:t xml:space="preserve">inherited </w:t>
      </w:r>
      <w:r w:rsidR="00A864D4">
        <w:rPr>
          <w:rFonts w:cstheme="minorHAnsi"/>
        </w:rPr>
        <w:t>‘</w:t>
      </w:r>
      <w:proofErr w:type="spellStart"/>
      <w:r w:rsidR="00A864D4">
        <w:rPr>
          <w:rFonts w:cstheme="minorHAnsi"/>
        </w:rPr>
        <w:t>pseudohypoxic</w:t>
      </w:r>
      <w:proofErr w:type="spellEnd"/>
      <w:r w:rsidR="00A864D4">
        <w:rPr>
          <w:rFonts w:cstheme="minorHAnsi"/>
        </w:rPr>
        <w:t xml:space="preserve">’ </w:t>
      </w:r>
      <w:r w:rsidR="005540ED">
        <w:rPr>
          <w:rFonts w:cstheme="minorHAnsi"/>
        </w:rPr>
        <w:t>cancers.</w:t>
      </w:r>
    </w:p>
    <w:p w14:paraId="01767107" w14:textId="77777777" w:rsidR="003C6EBC" w:rsidRPr="00C44BCD" w:rsidRDefault="003C6EBC" w:rsidP="00AA5C37">
      <w:pPr>
        <w:jc w:val="both"/>
        <w:rPr>
          <w:rFonts w:cstheme="minorHAnsi"/>
          <w:b/>
          <w:bCs/>
        </w:rPr>
      </w:pPr>
    </w:p>
    <w:p w14:paraId="55223AC5" w14:textId="075FC963" w:rsidR="003C6EBC" w:rsidRPr="00C44BCD" w:rsidRDefault="003C6EBC" w:rsidP="00AA5C37">
      <w:pPr>
        <w:jc w:val="both"/>
        <w:rPr>
          <w:rFonts w:cstheme="minorHAnsi"/>
          <w:b/>
          <w:bCs/>
        </w:rPr>
      </w:pPr>
      <w:r w:rsidRPr="00C44BCD">
        <w:rPr>
          <w:rFonts w:cstheme="minorHAnsi"/>
          <w:b/>
          <w:bCs/>
        </w:rPr>
        <w:t>Project</w:t>
      </w:r>
    </w:p>
    <w:p w14:paraId="46F2694D" w14:textId="0C99F9B4" w:rsidR="001A37F0" w:rsidRDefault="0024308D" w:rsidP="00AA5C37">
      <w:pPr>
        <w:jc w:val="both"/>
        <w:rPr>
          <w:rFonts w:cstheme="minorHAnsi"/>
        </w:rPr>
      </w:pPr>
      <w:r>
        <w:rPr>
          <w:rFonts w:cstheme="minorHAnsi"/>
        </w:rPr>
        <w:t>Hypoxia-inducible factor (</w:t>
      </w:r>
      <w:r w:rsidR="001F5600">
        <w:rPr>
          <w:rFonts w:cstheme="minorHAnsi"/>
        </w:rPr>
        <w:t>HIF</w:t>
      </w:r>
      <w:r>
        <w:rPr>
          <w:rFonts w:cstheme="minorHAnsi"/>
        </w:rPr>
        <w:t>)</w:t>
      </w:r>
      <w:r w:rsidR="00AC3CBA">
        <w:rPr>
          <w:rFonts w:cstheme="minorHAnsi"/>
        </w:rPr>
        <w:t>, a transcription factor that mounts gene expression changes to low oxygen,</w:t>
      </w:r>
      <w:r w:rsidR="001F5600">
        <w:rPr>
          <w:rFonts w:cstheme="minorHAnsi"/>
        </w:rPr>
        <w:t xml:space="preserve"> is commonly activated in cancer and </w:t>
      </w:r>
      <w:r w:rsidR="007B5C68">
        <w:rPr>
          <w:rFonts w:cstheme="minorHAnsi"/>
        </w:rPr>
        <w:t>its role in oncogenesis has attracted widespread interest</w:t>
      </w:r>
      <w:r w:rsidR="00402449">
        <w:rPr>
          <w:rFonts w:cstheme="minorHAnsi"/>
        </w:rPr>
        <w:t>, particularly in view of the recent development</w:t>
      </w:r>
      <w:r w:rsidR="009A71A9">
        <w:rPr>
          <w:rFonts w:cstheme="minorHAnsi"/>
        </w:rPr>
        <w:t xml:space="preserve"> and clinical licensing</w:t>
      </w:r>
      <w:r w:rsidR="00402449">
        <w:rPr>
          <w:rFonts w:cstheme="minorHAnsi"/>
        </w:rPr>
        <w:t xml:space="preserve"> of drugs with the potential to activate or inactivate components of the </w:t>
      </w:r>
      <w:r w:rsidR="00470814">
        <w:rPr>
          <w:rFonts w:cstheme="minorHAnsi"/>
        </w:rPr>
        <w:t xml:space="preserve">HIF </w:t>
      </w:r>
      <w:r w:rsidR="00402449">
        <w:rPr>
          <w:rFonts w:cstheme="minorHAnsi"/>
        </w:rPr>
        <w:t>pathway therapeutically.</w:t>
      </w:r>
      <w:r w:rsidR="000E58A9">
        <w:rPr>
          <w:rFonts w:cstheme="minorHAnsi"/>
        </w:rPr>
        <w:t xml:space="preserve"> Although HIF </w:t>
      </w:r>
      <w:r w:rsidR="000B399A">
        <w:rPr>
          <w:rFonts w:cstheme="minorHAnsi"/>
        </w:rPr>
        <w:t xml:space="preserve">operates ubiquitously </w:t>
      </w:r>
      <w:r w:rsidR="00F23816">
        <w:rPr>
          <w:rFonts w:cstheme="minorHAnsi"/>
        </w:rPr>
        <w:t xml:space="preserve">across cell types and </w:t>
      </w:r>
      <w:r w:rsidR="000E58A9">
        <w:rPr>
          <w:rFonts w:cstheme="minorHAnsi"/>
        </w:rPr>
        <w:t xml:space="preserve">is commonly </w:t>
      </w:r>
      <w:r w:rsidR="00C20E7E">
        <w:rPr>
          <w:rFonts w:cstheme="minorHAnsi"/>
        </w:rPr>
        <w:t>upregulated in cancer</w:t>
      </w:r>
      <w:r w:rsidR="000E58A9">
        <w:rPr>
          <w:rFonts w:cstheme="minorHAnsi"/>
        </w:rPr>
        <w:t>,</w:t>
      </w:r>
      <w:r w:rsidR="002E67D0">
        <w:rPr>
          <w:rFonts w:cstheme="minorHAnsi"/>
        </w:rPr>
        <w:t xml:space="preserve"> direct genetic activation by mutation of any of the key components of the HIF pathway is rare in most forms of cancer. </w:t>
      </w:r>
      <w:r w:rsidR="001B7F89">
        <w:rPr>
          <w:rFonts w:cstheme="minorHAnsi"/>
        </w:rPr>
        <w:t xml:space="preserve">An important exception to this </w:t>
      </w:r>
      <w:proofErr w:type="gramStart"/>
      <w:r w:rsidR="001B7F89">
        <w:rPr>
          <w:rFonts w:cstheme="minorHAnsi"/>
        </w:rPr>
        <w:t>are</w:t>
      </w:r>
      <w:proofErr w:type="gramEnd"/>
      <w:r w:rsidR="001B7F89">
        <w:rPr>
          <w:rFonts w:cstheme="minorHAnsi"/>
        </w:rPr>
        <w:t xml:space="preserve"> </w:t>
      </w:r>
      <w:proofErr w:type="spellStart"/>
      <w:r w:rsidR="001B7F89">
        <w:rPr>
          <w:rFonts w:cstheme="minorHAnsi"/>
        </w:rPr>
        <w:t>t</w:t>
      </w:r>
      <w:r w:rsidR="00822FC8">
        <w:rPr>
          <w:rFonts w:cstheme="minorHAnsi"/>
        </w:rPr>
        <w:t>umours</w:t>
      </w:r>
      <w:proofErr w:type="spellEnd"/>
      <w:r w:rsidR="00822FC8">
        <w:rPr>
          <w:rFonts w:cstheme="minorHAnsi"/>
        </w:rPr>
        <w:t xml:space="preserve"> of the autonomic </w:t>
      </w:r>
      <w:r w:rsidR="00212CA4">
        <w:rPr>
          <w:rFonts w:cstheme="minorHAnsi"/>
        </w:rPr>
        <w:t>para</w:t>
      </w:r>
      <w:r w:rsidR="00822FC8">
        <w:rPr>
          <w:rFonts w:cstheme="minorHAnsi"/>
        </w:rPr>
        <w:t>ganglia</w:t>
      </w:r>
      <w:r w:rsidR="00D238C3">
        <w:rPr>
          <w:rFonts w:cstheme="minorHAnsi"/>
        </w:rPr>
        <w:t xml:space="preserve"> that arise in diverse anatomical locations from the skull base to the pelvis</w:t>
      </w:r>
      <w:r w:rsidR="003209F4">
        <w:rPr>
          <w:rFonts w:cstheme="minorHAnsi"/>
        </w:rPr>
        <w:t xml:space="preserve">, </w:t>
      </w:r>
      <w:r w:rsidR="00D238C3">
        <w:rPr>
          <w:rFonts w:cstheme="minorHAnsi"/>
        </w:rPr>
        <w:t>known as</w:t>
      </w:r>
      <w:r w:rsidR="00822FC8">
        <w:rPr>
          <w:rFonts w:cstheme="minorHAnsi"/>
        </w:rPr>
        <w:t xml:space="preserve"> pheochromocytomas and paragangliomas</w:t>
      </w:r>
      <w:r w:rsidR="00286654">
        <w:rPr>
          <w:rFonts w:cstheme="minorHAnsi"/>
        </w:rPr>
        <w:t xml:space="preserve"> (PPGLs</w:t>
      </w:r>
      <w:r w:rsidR="006363F0">
        <w:rPr>
          <w:rFonts w:cstheme="minorHAnsi"/>
        </w:rPr>
        <w:t>).</w:t>
      </w:r>
      <w:r w:rsidR="000B4057">
        <w:rPr>
          <w:rFonts w:cstheme="minorHAnsi"/>
        </w:rPr>
        <w:t xml:space="preserve"> These </w:t>
      </w:r>
      <w:proofErr w:type="spellStart"/>
      <w:r w:rsidR="000B4057">
        <w:rPr>
          <w:rFonts w:cstheme="minorHAnsi"/>
        </w:rPr>
        <w:t>tumours</w:t>
      </w:r>
      <w:proofErr w:type="spellEnd"/>
      <w:r w:rsidR="000B4057">
        <w:rPr>
          <w:rFonts w:cstheme="minorHAnsi"/>
        </w:rPr>
        <w:t xml:space="preserve"> are</w:t>
      </w:r>
      <w:r w:rsidR="002418D3">
        <w:rPr>
          <w:rFonts w:cstheme="minorHAnsi"/>
        </w:rPr>
        <w:t xml:space="preserve"> highly heritable with almost half </w:t>
      </w:r>
      <w:r w:rsidR="00AB2038">
        <w:rPr>
          <w:rFonts w:cstheme="minorHAnsi"/>
        </w:rPr>
        <w:t xml:space="preserve">of these </w:t>
      </w:r>
      <w:proofErr w:type="spellStart"/>
      <w:r w:rsidR="00AB2038">
        <w:rPr>
          <w:rFonts w:cstheme="minorHAnsi"/>
        </w:rPr>
        <w:t>tumours</w:t>
      </w:r>
      <w:proofErr w:type="spellEnd"/>
      <w:r w:rsidR="00AB2038">
        <w:rPr>
          <w:rFonts w:cstheme="minorHAnsi"/>
        </w:rPr>
        <w:t xml:space="preserve"> </w:t>
      </w:r>
      <w:r w:rsidR="00B92991">
        <w:rPr>
          <w:rFonts w:cstheme="minorHAnsi"/>
        </w:rPr>
        <w:t>bearing</w:t>
      </w:r>
      <w:r w:rsidR="00AB2038">
        <w:rPr>
          <w:rFonts w:cstheme="minorHAnsi"/>
        </w:rPr>
        <w:t xml:space="preserve"> </w:t>
      </w:r>
      <w:r w:rsidR="00B92991">
        <w:rPr>
          <w:rFonts w:cstheme="minorHAnsi"/>
        </w:rPr>
        <w:t>a</w:t>
      </w:r>
      <w:r w:rsidR="009B4BAE">
        <w:rPr>
          <w:rFonts w:cstheme="minorHAnsi"/>
        </w:rPr>
        <w:t>n inherited,</w:t>
      </w:r>
      <w:r w:rsidR="00B92991">
        <w:rPr>
          <w:rFonts w:cstheme="minorHAnsi"/>
        </w:rPr>
        <w:t xml:space="preserve"> </w:t>
      </w:r>
      <w:r w:rsidR="00AB2038">
        <w:rPr>
          <w:rFonts w:cstheme="minorHAnsi"/>
        </w:rPr>
        <w:t>germline (or post zygotic but early somatic) mutation</w:t>
      </w:r>
      <w:r w:rsidR="00EA4FC3">
        <w:rPr>
          <w:rFonts w:cstheme="minorHAnsi"/>
        </w:rPr>
        <w:t xml:space="preserve"> and mutations that result in activation of HIF</w:t>
      </w:r>
      <w:r w:rsidR="00BB0198">
        <w:rPr>
          <w:rFonts w:cstheme="minorHAnsi"/>
        </w:rPr>
        <w:t xml:space="preserve"> (</w:t>
      </w:r>
      <w:r w:rsidR="003669DB">
        <w:rPr>
          <w:rFonts w:cstheme="minorHAnsi"/>
        </w:rPr>
        <w:t xml:space="preserve">in the absence of hypoxia per se i.e. </w:t>
      </w:r>
      <w:r w:rsidR="00BB0198">
        <w:rPr>
          <w:rFonts w:cstheme="minorHAnsi"/>
        </w:rPr>
        <w:t>‘pseudohypoxia’)</w:t>
      </w:r>
      <w:r w:rsidR="00EA4FC3">
        <w:rPr>
          <w:rFonts w:cstheme="minorHAnsi"/>
        </w:rPr>
        <w:t xml:space="preserve"> are particularly common</w:t>
      </w:r>
      <w:r w:rsidR="003F49E8" w:rsidRPr="003F49E8">
        <w:rPr>
          <w:rFonts w:cstheme="minorHAnsi"/>
          <w:vertAlign w:val="superscript"/>
        </w:rPr>
        <w:t>1</w:t>
      </w:r>
      <w:r w:rsidR="00EA4FC3">
        <w:rPr>
          <w:rFonts w:cstheme="minorHAnsi"/>
        </w:rPr>
        <w:t>.</w:t>
      </w:r>
      <w:r w:rsidR="00CB5C8E">
        <w:rPr>
          <w:rFonts w:cstheme="minorHAnsi"/>
        </w:rPr>
        <w:t xml:space="preserve"> </w:t>
      </w:r>
      <w:r w:rsidR="00D933E9">
        <w:rPr>
          <w:rFonts w:cstheme="minorHAnsi"/>
        </w:rPr>
        <w:t xml:space="preserve">In </w:t>
      </w:r>
      <w:r w:rsidR="00225E07">
        <w:rPr>
          <w:rFonts w:cstheme="minorHAnsi"/>
        </w:rPr>
        <w:t>an effort to understand this paradox and gain insights into the pathogenesis</w:t>
      </w:r>
      <w:r w:rsidR="002B25D9">
        <w:rPr>
          <w:rFonts w:cstheme="minorHAnsi"/>
        </w:rPr>
        <w:t xml:space="preserve"> of </w:t>
      </w:r>
      <w:proofErr w:type="spellStart"/>
      <w:r w:rsidR="002B25D9">
        <w:rPr>
          <w:rFonts w:cstheme="minorHAnsi"/>
        </w:rPr>
        <w:t>pseudohypoxic</w:t>
      </w:r>
      <w:proofErr w:type="spellEnd"/>
      <w:r w:rsidR="002B25D9">
        <w:rPr>
          <w:rFonts w:cstheme="minorHAnsi"/>
        </w:rPr>
        <w:t xml:space="preserve"> PPGL, we have constructed mice in which the </w:t>
      </w:r>
      <w:r w:rsidR="00694E19">
        <w:rPr>
          <w:rFonts w:cstheme="minorHAnsi"/>
        </w:rPr>
        <w:t>dominant negative regulator of HIF</w:t>
      </w:r>
      <w:r w:rsidR="00D933E9">
        <w:rPr>
          <w:rFonts w:cstheme="minorHAnsi"/>
        </w:rPr>
        <w:t xml:space="preserve"> </w:t>
      </w:r>
      <w:r w:rsidR="00E92B70">
        <w:rPr>
          <w:rFonts w:cstheme="minorHAnsi"/>
        </w:rPr>
        <w:t>(HIF prolyl hydroxylase 2, Phd2) is inactivated</w:t>
      </w:r>
      <w:r w:rsidR="00234829">
        <w:rPr>
          <w:rFonts w:cstheme="minorHAnsi"/>
        </w:rPr>
        <w:t xml:space="preserve"> and show that activation of HIF-2 during development </w:t>
      </w:r>
      <w:r w:rsidR="00755AD2">
        <w:rPr>
          <w:rFonts w:cstheme="minorHAnsi"/>
        </w:rPr>
        <w:t>drives</w:t>
      </w:r>
      <w:r w:rsidR="004F6554">
        <w:rPr>
          <w:rFonts w:cstheme="minorHAnsi"/>
        </w:rPr>
        <w:t xml:space="preserve"> a lineage shift </w:t>
      </w:r>
      <w:r w:rsidR="00212ACC">
        <w:rPr>
          <w:rFonts w:cstheme="minorHAnsi"/>
        </w:rPr>
        <w:t>towards</w:t>
      </w:r>
      <w:r w:rsidR="00234829">
        <w:rPr>
          <w:rFonts w:cstheme="minorHAnsi"/>
        </w:rPr>
        <w:t xml:space="preserve"> </w:t>
      </w:r>
      <w:r w:rsidR="0003049B">
        <w:rPr>
          <w:rFonts w:cstheme="minorHAnsi"/>
        </w:rPr>
        <w:t>the formation of</w:t>
      </w:r>
      <w:r w:rsidR="0036105D">
        <w:rPr>
          <w:rFonts w:cstheme="minorHAnsi"/>
        </w:rPr>
        <w:t xml:space="preserve"> immature</w:t>
      </w:r>
      <w:r w:rsidR="00BA0DBF">
        <w:rPr>
          <w:rFonts w:cstheme="minorHAnsi"/>
        </w:rPr>
        <w:t>/noradrenergic adrenal medullas</w:t>
      </w:r>
      <w:r w:rsidR="001A024B">
        <w:rPr>
          <w:rFonts w:cstheme="minorHAnsi"/>
        </w:rPr>
        <w:t xml:space="preserve"> with close similarities to </w:t>
      </w:r>
      <w:proofErr w:type="spellStart"/>
      <w:r w:rsidR="001A024B">
        <w:rPr>
          <w:rFonts w:cstheme="minorHAnsi"/>
        </w:rPr>
        <w:t>pseudohypoxic</w:t>
      </w:r>
      <w:proofErr w:type="spellEnd"/>
      <w:r w:rsidR="001A024B">
        <w:rPr>
          <w:rFonts w:cstheme="minorHAnsi"/>
        </w:rPr>
        <w:t xml:space="preserve"> </w:t>
      </w:r>
      <w:r w:rsidR="00BA461D">
        <w:rPr>
          <w:rFonts w:cstheme="minorHAnsi"/>
        </w:rPr>
        <w:t>PPGLs</w:t>
      </w:r>
      <w:r w:rsidR="00FE5152">
        <w:rPr>
          <w:rFonts w:cstheme="minorHAnsi"/>
          <w:vertAlign w:val="superscript"/>
        </w:rPr>
        <w:t>2</w:t>
      </w:r>
      <w:r w:rsidR="006F5AC0" w:rsidRPr="006F5AC0">
        <w:rPr>
          <w:rFonts w:cstheme="minorHAnsi"/>
          <w:vertAlign w:val="superscript"/>
        </w:rPr>
        <w:t>,</w:t>
      </w:r>
      <w:r w:rsidR="00FE5152">
        <w:rPr>
          <w:rFonts w:cstheme="minorHAnsi"/>
          <w:vertAlign w:val="superscript"/>
        </w:rPr>
        <w:t>3</w:t>
      </w:r>
      <w:r w:rsidR="001A024B">
        <w:rPr>
          <w:rFonts w:cstheme="minorHAnsi"/>
        </w:rPr>
        <w:t>.</w:t>
      </w:r>
      <w:r w:rsidR="0003049B">
        <w:rPr>
          <w:rFonts w:cstheme="minorHAnsi"/>
        </w:rPr>
        <w:t xml:space="preserve"> Interestingly, these ab</w:t>
      </w:r>
      <w:r w:rsidR="004D4FA2">
        <w:rPr>
          <w:rFonts w:cstheme="minorHAnsi"/>
        </w:rPr>
        <w:t xml:space="preserve">normalities include a HIF-2 dependent pattern of gene expression with similar features to </w:t>
      </w:r>
      <w:r w:rsidR="009D2269">
        <w:rPr>
          <w:rFonts w:cstheme="minorHAnsi"/>
        </w:rPr>
        <w:t xml:space="preserve">the </w:t>
      </w:r>
      <w:r w:rsidR="004D4FA2">
        <w:rPr>
          <w:rFonts w:cstheme="minorHAnsi"/>
        </w:rPr>
        <w:t>carotid body</w:t>
      </w:r>
      <w:r w:rsidR="00F32D99">
        <w:rPr>
          <w:rFonts w:cstheme="minorHAnsi"/>
        </w:rPr>
        <w:t>, a</w:t>
      </w:r>
      <w:r w:rsidR="000530B5">
        <w:rPr>
          <w:rFonts w:cstheme="minorHAnsi"/>
        </w:rPr>
        <w:t xml:space="preserve">n arterial </w:t>
      </w:r>
      <w:r w:rsidR="00533A5B">
        <w:rPr>
          <w:rFonts w:cstheme="minorHAnsi"/>
        </w:rPr>
        <w:t>chemoreceptor</w:t>
      </w:r>
      <w:r w:rsidR="00F32D99">
        <w:rPr>
          <w:rFonts w:cstheme="minorHAnsi"/>
        </w:rPr>
        <w:t xml:space="preserve"> that mounts rapid</w:t>
      </w:r>
      <w:r w:rsidR="000F3516">
        <w:rPr>
          <w:rFonts w:cstheme="minorHAnsi"/>
        </w:rPr>
        <w:t xml:space="preserve"> (&lt;1 min)</w:t>
      </w:r>
      <w:r w:rsidR="00F32D99">
        <w:rPr>
          <w:rFonts w:cstheme="minorHAnsi"/>
        </w:rPr>
        <w:t xml:space="preserve"> </w:t>
      </w:r>
      <w:r w:rsidR="00CF7CAA">
        <w:rPr>
          <w:rFonts w:cstheme="minorHAnsi"/>
        </w:rPr>
        <w:t xml:space="preserve">neurosecretory </w:t>
      </w:r>
      <w:r w:rsidR="00F32D99">
        <w:rPr>
          <w:rFonts w:cstheme="minorHAnsi"/>
        </w:rPr>
        <w:t xml:space="preserve">responses to </w:t>
      </w:r>
      <w:r w:rsidR="00EA5E86">
        <w:rPr>
          <w:rFonts w:cstheme="minorHAnsi"/>
        </w:rPr>
        <w:t>low oxygen</w:t>
      </w:r>
      <w:r w:rsidR="00066597">
        <w:rPr>
          <w:rFonts w:cstheme="minorHAnsi"/>
        </w:rPr>
        <w:t xml:space="preserve"> to mediate hypoxic ventilatory control</w:t>
      </w:r>
      <w:r w:rsidR="00F32D99">
        <w:rPr>
          <w:rFonts w:cstheme="minorHAnsi"/>
        </w:rPr>
        <w:t xml:space="preserve"> and whose </w:t>
      </w:r>
      <w:proofErr w:type="spellStart"/>
      <w:r w:rsidR="005A27A7">
        <w:rPr>
          <w:rFonts w:cstheme="minorHAnsi"/>
        </w:rPr>
        <w:t>signalling</w:t>
      </w:r>
      <w:proofErr w:type="spellEnd"/>
      <w:r w:rsidR="005A27A7">
        <w:rPr>
          <w:rFonts w:cstheme="minorHAnsi"/>
        </w:rPr>
        <w:t xml:space="preserve"> </w:t>
      </w:r>
      <w:r w:rsidR="00F32D99">
        <w:rPr>
          <w:rFonts w:cstheme="minorHAnsi"/>
        </w:rPr>
        <w:t>mechanisms remain unknown</w:t>
      </w:r>
      <w:r w:rsidR="006376C5">
        <w:rPr>
          <w:rFonts w:cstheme="minorHAnsi"/>
        </w:rPr>
        <w:t xml:space="preserve"> but involve HIF-2</w:t>
      </w:r>
      <w:r w:rsidR="00FE5152">
        <w:rPr>
          <w:rFonts w:cstheme="minorHAnsi"/>
          <w:vertAlign w:val="superscript"/>
        </w:rPr>
        <w:t>4</w:t>
      </w:r>
      <w:r w:rsidR="008F440C">
        <w:rPr>
          <w:rFonts w:cstheme="minorHAnsi"/>
          <w:vertAlign w:val="superscript"/>
        </w:rPr>
        <w:t>,</w:t>
      </w:r>
      <w:r w:rsidR="00FE5152">
        <w:rPr>
          <w:rFonts w:cstheme="minorHAnsi"/>
          <w:vertAlign w:val="superscript"/>
        </w:rPr>
        <w:t>5</w:t>
      </w:r>
      <w:r w:rsidR="00F32D99">
        <w:rPr>
          <w:rFonts w:cstheme="minorHAnsi"/>
        </w:rPr>
        <w:t>.</w:t>
      </w:r>
      <w:r w:rsidR="00A80F5C">
        <w:rPr>
          <w:rFonts w:cstheme="minorHAnsi"/>
        </w:rPr>
        <w:t xml:space="preserve"> This project will test </w:t>
      </w:r>
      <w:r w:rsidR="00EC1EBD">
        <w:rPr>
          <w:rFonts w:cstheme="minorHAnsi"/>
        </w:rPr>
        <w:t xml:space="preserve">whether developmental </w:t>
      </w:r>
      <w:r w:rsidR="00992662">
        <w:rPr>
          <w:rFonts w:cstheme="minorHAnsi"/>
        </w:rPr>
        <w:t xml:space="preserve">activation of HIF-2 </w:t>
      </w:r>
      <w:r w:rsidR="00EB3DEC">
        <w:rPr>
          <w:rFonts w:cstheme="minorHAnsi"/>
        </w:rPr>
        <w:t xml:space="preserve">in chromaffin cells </w:t>
      </w:r>
      <w:r w:rsidR="00F50996">
        <w:rPr>
          <w:rFonts w:cstheme="minorHAnsi"/>
        </w:rPr>
        <w:t>confers</w:t>
      </w:r>
      <w:r w:rsidR="00C97CAB">
        <w:rPr>
          <w:rFonts w:cstheme="minorHAnsi"/>
        </w:rPr>
        <w:t xml:space="preserve"> </w:t>
      </w:r>
      <w:r w:rsidR="00BF1304">
        <w:rPr>
          <w:rFonts w:cstheme="minorHAnsi"/>
        </w:rPr>
        <w:t xml:space="preserve">not just </w:t>
      </w:r>
      <w:r w:rsidR="00341EA5">
        <w:rPr>
          <w:rFonts w:cstheme="minorHAnsi"/>
        </w:rPr>
        <w:t xml:space="preserve">a </w:t>
      </w:r>
      <w:r w:rsidR="00C97CAB">
        <w:rPr>
          <w:rFonts w:cstheme="minorHAnsi"/>
        </w:rPr>
        <w:t>carotid body-like</w:t>
      </w:r>
      <w:r w:rsidR="00992662">
        <w:rPr>
          <w:rFonts w:cstheme="minorHAnsi"/>
        </w:rPr>
        <w:t xml:space="preserve"> </w:t>
      </w:r>
      <w:r w:rsidR="00FF10C5">
        <w:rPr>
          <w:rFonts w:cstheme="minorHAnsi"/>
        </w:rPr>
        <w:t>transcriptom</w:t>
      </w:r>
      <w:r w:rsidR="00295E38">
        <w:rPr>
          <w:rFonts w:cstheme="minorHAnsi"/>
        </w:rPr>
        <w:t>e</w:t>
      </w:r>
      <w:r w:rsidR="00FF10C5">
        <w:rPr>
          <w:rFonts w:cstheme="minorHAnsi"/>
        </w:rPr>
        <w:t xml:space="preserve"> but also function</w:t>
      </w:r>
      <w:r w:rsidR="006029CE">
        <w:rPr>
          <w:rFonts w:cstheme="minorHAnsi"/>
        </w:rPr>
        <w:t xml:space="preserve"> i.e. </w:t>
      </w:r>
      <w:r w:rsidR="00992662">
        <w:rPr>
          <w:rFonts w:cstheme="minorHAnsi"/>
        </w:rPr>
        <w:t>oxygen sensitivity</w:t>
      </w:r>
      <w:r w:rsidR="00EA647B">
        <w:rPr>
          <w:rFonts w:cstheme="minorHAnsi"/>
        </w:rPr>
        <w:t xml:space="preserve">. </w:t>
      </w:r>
      <w:r w:rsidR="0058791E">
        <w:rPr>
          <w:rFonts w:cstheme="minorHAnsi"/>
        </w:rPr>
        <w:t>This project is expected</w:t>
      </w:r>
      <w:r w:rsidR="00F052C2">
        <w:rPr>
          <w:rFonts w:cstheme="minorHAnsi"/>
        </w:rPr>
        <w:t xml:space="preserve"> to</w:t>
      </w:r>
      <w:r w:rsidR="00EA647B">
        <w:rPr>
          <w:rFonts w:cstheme="minorHAnsi"/>
        </w:rPr>
        <w:t xml:space="preserve"> deliver</w:t>
      </w:r>
      <w:r w:rsidR="00997649">
        <w:rPr>
          <w:rFonts w:cstheme="minorHAnsi"/>
        </w:rPr>
        <w:t xml:space="preserve"> </w:t>
      </w:r>
      <w:r w:rsidR="00143E3A">
        <w:rPr>
          <w:rFonts w:cstheme="minorHAnsi"/>
        </w:rPr>
        <w:t>insights into the mechanisms of acute oxygen sensing</w:t>
      </w:r>
      <w:r w:rsidR="00E570E6">
        <w:rPr>
          <w:rFonts w:cstheme="minorHAnsi"/>
        </w:rPr>
        <w:t xml:space="preserve"> and</w:t>
      </w:r>
      <w:r w:rsidR="00A71371">
        <w:rPr>
          <w:rFonts w:cstheme="minorHAnsi"/>
        </w:rPr>
        <w:t xml:space="preserve"> also</w:t>
      </w:r>
      <w:r w:rsidR="00E570E6">
        <w:rPr>
          <w:rFonts w:cstheme="minorHAnsi"/>
        </w:rPr>
        <w:t xml:space="preserve"> inform </w:t>
      </w:r>
      <w:r w:rsidR="0064074D">
        <w:rPr>
          <w:rFonts w:cstheme="minorHAnsi"/>
        </w:rPr>
        <w:t>translational strategies in the treatment of PPGLs</w:t>
      </w:r>
      <w:r w:rsidR="00E4160C">
        <w:rPr>
          <w:rFonts w:cstheme="minorHAnsi"/>
        </w:rPr>
        <w:t>,</w:t>
      </w:r>
      <w:r w:rsidR="00D61985">
        <w:rPr>
          <w:rFonts w:cstheme="minorHAnsi"/>
        </w:rPr>
        <w:t xml:space="preserve"> given the recent clinical licensing of HIF-2alpha antagonists in the treatment of cancer</w:t>
      </w:r>
      <w:r w:rsidR="004823F4">
        <w:rPr>
          <w:rFonts w:cstheme="minorHAnsi"/>
          <w:vertAlign w:val="superscript"/>
        </w:rPr>
        <w:t>6</w:t>
      </w:r>
      <w:r w:rsidR="00A36DDB" w:rsidRPr="00F051F9">
        <w:rPr>
          <w:rFonts w:cstheme="minorHAnsi"/>
          <w:vertAlign w:val="superscript"/>
        </w:rPr>
        <w:t>,</w:t>
      </w:r>
      <w:r w:rsidR="004823F4">
        <w:rPr>
          <w:rFonts w:cstheme="minorHAnsi"/>
          <w:vertAlign w:val="superscript"/>
        </w:rPr>
        <w:t>7,8</w:t>
      </w:r>
      <w:r w:rsidR="009C4276">
        <w:rPr>
          <w:rFonts w:cstheme="minorHAnsi"/>
          <w:vertAlign w:val="superscript"/>
        </w:rPr>
        <w:t>,9</w:t>
      </w:r>
      <w:r w:rsidR="00992662">
        <w:rPr>
          <w:rFonts w:cstheme="minorHAnsi"/>
        </w:rPr>
        <w:t>.</w:t>
      </w:r>
      <w:r w:rsidR="00EC1EBD">
        <w:rPr>
          <w:rFonts w:cstheme="minorHAnsi"/>
        </w:rPr>
        <w:t xml:space="preserve"> </w:t>
      </w:r>
    </w:p>
    <w:p w14:paraId="2D0A88FD" w14:textId="08362FCD" w:rsidR="003C6EBC" w:rsidRPr="00C44BCD" w:rsidRDefault="003C6EBC" w:rsidP="00AA5C37">
      <w:pPr>
        <w:jc w:val="both"/>
        <w:rPr>
          <w:rFonts w:cstheme="minorHAnsi"/>
        </w:rPr>
      </w:pPr>
    </w:p>
    <w:p w14:paraId="4B9F811D" w14:textId="2ED41764" w:rsidR="00940DCE" w:rsidRPr="00B67BA8" w:rsidRDefault="003C6EBC" w:rsidP="00AA5C37">
      <w:pPr>
        <w:jc w:val="both"/>
        <w:rPr>
          <w:rFonts w:cstheme="minorHAnsi"/>
          <w:b/>
          <w:bCs/>
        </w:rPr>
      </w:pPr>
      <w:r w:rsidRPr="00C44BCD">
        <w:rPr>
          <w:rFonts w:cstheme="minorHAnsi"/>
          <w:b/>
          <w:bCs/>
        </w:rPr>
        <w:t>Training</w:t>
      </w:r>
    </w:p>
    <w:p w14:paraId="1729AC44" w14:textId="1063CA31" w:rsidR="001B7036" w:rsidRDefault="008B73BB" w:rsidP="00AA5C37">
      <w:pPr>
        <w:jc w:val="both"/>
        <w:rPr>
          <w:rFonts w:cstheme="minorHAnsi"/>
        </w:rPr>
      </w:pPr>
      <w:r w:rsidRPr="00C44BCD">
        <w:rPr>
          <w:rFonts w:cstheme="minorHAnsi"/>
        </w:rPr>
        <w:t xml:space="preserve">In this project </w:t>
      </w:r>
      <w:r w:rsidR="003A61B9">
        <w:rPr>
          <w:rFonts w:cstheme="minorHAnsi"/>
        </w:rPr>
        <w:t xml:space="preserve">transgenic mice </w:t>
      </w:r>
      <w:r w:rsidRPr="00C44BCD">
        <w:rPr>
          <w:rFonts w:cstheme="minorHAnsi"/>
        </w:rPr>
        <w:t xml:space="preserve">will be used to dissect the </w:t>
      </w:r>
      <w:r w:rsidR="001B7036">
        <w:rPr>
          <w:rFonts w:cstheme="minorHAnsi"/>
        </w:rPr>
        <w:t xml:space="preserve">role of HIF-2 </w:t>
      </w:r>
      <w:r w:rsidR="00392AD7">
        <w:rPr>
          <w:rFonts w:cstheme="minorHAnsi"/>
        </w:rPr>
        <w:t>in</w:t>
      </w:r>
      <w:r w:rsidR="005A50E0">
        <w:rPr>
          <w:rFonts w:cstheme="minorHAnsi"/>
        </w:rPr>
        <w:t xml:space="preserve"> </w:t>
      </w:r>
      <w:r w:rsidR="00C72BA2">
        <w:rPr>
          <w:rFonts w:cstheme="minorHAnsi"/>
        </w:rPr>
        <w:t>PPGL</w:t>
      </w:r>
      <w:r w:rsidR="000C2539">
        <w:rPr>
          <w:rFonts w:cstheme="minorHAnsi"/>
        </w:rPr>
        <w:t xml:space="preserve"> </w:t>
      </w:r>
      <w:proofErr w:type="spellStart"/>
      <w:r w:rsidR="00C72BA2">
        <w:rPr>
          <w:rFonts w:cstheme="minorHAnsi"/>
        </w:rPr>
        <w:t>tumourigenesis</w:t>
      </w:r>
      <w:proofErr w:type="spellEnd"/>
      <w:r w:rsidR="00591819">
        <w:rPr>
          <w:rFonts w:cstheme="minorHAnsi"/>
        </w:rPr>
        <w:t xml:space="preserve"> and acute oxygen sensing</w:t>
      </w:r>
      <w:r w:rsidR="005A50E0">
        <w:rPr>
          <w:rFonts w:cstheme="minorHAnsi"/>
        </w:rPr>
        <w:t>.</w:t>
      </w:r>
      <w:r w:rsidR="00B069D3">
        <w:rPr>
          <w:rFonts w:cstheme="minorHAnsi"/>
        </w:rPr>
        <w:t xml:space="preserve"> </w:t>
      </w:r>
      <w:r w:rsidR="00301180">
        <w:rPr>
          <w:rFonts w:cstheme="minorHAnsi"/>
        </w:rPr>
        <w:t xml:space="preserve">The student will be trained in </w:t>
      </w:r>
      <w:r w:rsidR="007F6795">
        <w:rPr>
          <w:rFonts w:cstheme="minorHAnsi"/>
        </w:rPr>
        <w:t xml:space="preserve">modern techniques </w:t>
      </w:r>
      <w:r w:rsidR="00FC3EE7">
        <w:rPr>
          <w:rFonts w:cstheme="minorHAnsi"/>
        </w:rPr>
        <w:t>involving</w:t>
      </w:r>
      <w:r w:rsidR="007F6795">
        <w:rPr>
          <w:rFonts w:cstheme="minorHAnsi"/>
        </w:rPr>
        <w:t xml:space="preserve"> </w:t>
      </w:r>
      <w:r w:rsidR="00CB4E4A">
        <w:rPr>
          <w:rFonts w:cstheme="minorHAnsi"/>
        </w:rPr>
        <w:t>fluorescen</w:t>
      </w:r>
      <w:r w:rsidR="00B15B5E">
        <w:rPr>
          <w:rFonts w:cstheme="minorHAnsi"/>
        </w:rPr>
        <w:t>ce</w:t>
      </w:r>
      <w:r w:rsidR="00CB4E4A">
        <w:rPr>
          <w:rFonts w:cstheme="minorHAnsi"/>
        </w:rPr>
        <w:t xml:space="preserve"> microscopy</w:t>
      </w:r>
      <w:r w:rsidR="00C163B6">
        <w:rPr>
          <w:rFonts w:cstheme="minorHAnsi"/>
        </w:rPr>
        <w:t xml:space="preserve"> to detect</w:t>
      </w:r>
      <w:r w:rsidR="00F33F6A">
        <w:rPr>
          <w:rFonts w:cstheme="minorHAnsi"/>
        </w:rPr>
        <w:t xml:space="preserve"> changes in</w:t>
      </w:r>
      <w:r w:rsidR="00C163B6">
        <w:rPr>
          <w:rFonts w:cstheme="minorHAnsi"/>
        </w:rPr>
        <w:t xml:space="preserve"> intracellular </w:t>
      </w:r>
      <w:r w:rsidR="00002637">
        <w:rPr>
          <w:rFonts w:cstheme="minorHAnsi"/>
        </w:rPr>
        <w:t>Ca</w:t>
      </w:r>
      <w:r w:rsidR="00002637" w:rsidRPr="00B57F65">
        <w:rPr>
          <w:rFonts w:cstheme="minorHAnsi"/>
          <w:vertAlign w:val="superscript"/>
        </w:rPr>
        <w:t>2+</w:t>
      </w:r>
      <w:r w:rsidR="00C163B6">
        <w:rPr>
          <w:rFonts w:cstheme="minorHAnsi"/>
        </w:rPr>
        <w:t xml:space="preserve"> in</w:t>
      </w:r>
      <w:r w:rsidR="003A0A32">
        <w:rPr>
          <w:rFonts w:cstheme="minorHAnsi"/>
        </w:rPr>
        <w:t xml:space="preserve"> tissue slices in</w:t>
      </w:r>
      <w:r w:rsidR="00C163B6">
        <w:rPr>
          <w:rFonts w:cstheme="minorHAnsi"/>
        </w:rPr>
        <w:t xml:space="preserve"> response to acute hypoxic exposure</w:t>
      </w:r>
      <w:r w:rsidR="00AA19B8">
        <w:rPr>
          <w:rFonts w:cstheme="minorHAnsi"/>
        </w:rPr>
        <w:t xml:space="preserve"> and concurrent to amperometry</w:t>
      </w:r>
      <w:r w:rsidR="00471760">
        <w:rPr>
          <w:rFonts w:cstheme="minorHAnsi"/>
        </w:rPr>
        <w:t xml:space="preserve"> in collaboration with </w:t>
      </w:r>
      <w:r w:rsidR="007C34CA">
        <w:rPr>
          <w:rFonts w:cstheme="minorHAnsi"/>
        </w:rPr>
        <w:t>Pro</w:t>
      </w:r>
      <w:r w:rsidR="009D6711">
        <w:rPr>
          <w:rFonts w:cstheme="minorHAnsi"/>
        </w:rPr>
        <w:t xml:space="preserve">fessors </w:t>
      </w:r>
      <w:r w:rsidR="00665707">
        <w:rPr>
          <w:rFonts w:cstheme="minorHAnsi"/>
        </w:rPr>
        <w:t xml:space="preserve">Keith Buckler and </w:t>
      </w:r>
      <w:proofErr w:type="spellStart"/>
      <w:r w:rsidR="00665707">
        <w:rPr>
          <w:rFonts w:cstheme="minorHAnsi"/>
        </w:rPr>
        <w:t>Patrik</w:t>
      </w:r>
      <w:proofErr w:type="spellEnd"/>
      <w:r w:rsidR="00665707">
        <w:rPr>
          <w:rFonts w:cstheme="minorHAnsi"/>
        </w:rPr>
        <w:t xml:space="preserve"> </w:t>
      </w:r>
      <w:proofErr w:type="spellStart"/>
      <w:r w:rsidR="00665707">
        <w:rPr>
          <w:rFonts w:cstheme="minorHAnsi"/>
        </w:rPr>
        <w:t>Rorsman</w:t>
      </w:r>
      <w:proofErr w:type="spellEnd"/>
      <w:r w:rsidR="00BD36D8">
        <w:rPr>
          <w:rFonts w:cstheme="minorHAnsi"/>
        </w:rPr>
        <w:t xml:space="preserve">; </w:t>
      </w:r>
      <w:r w:rsidR="00F122D9">
        <w:rPr>
          <w:rFonts w:cstheme="minorHAnsi"/>
        </w:rPr>
        <w:t xml:space="preserve">use of clinically licensed HIF-2alpha antagonists </w:t>
      </w:r>
      <w:r w:rsidR="00F122D9" w:rsidRPr="00E91798">
        <w:rPr>
          <w:rFonts w:cstheme="minorHAnsi"/>
          <w:i/>
          <w:iCs/>
        </w:rPr>
        <w:t>in vivo</w:t>
      </w:r>
      <w:r w:rsidR="000D08B1">
        <w:rPr>
          <w:rFonts w:cstheme="minorHAnsi"/>
          <w:i/>
          <w:iCs/>
        </w:rPr>
        <w:t xml:space="preserve"> </w:t>
      </w:r>
      <w:r w:rsidR="000D08B1" w:rsidRPr="001A132B">
        <w:rPr>
          <w:rFonts w:cstheme="minorHAnsi"/>
        </w:rPr>
        <w:t xml:space="preserve">to test </w:t>
      </w:r>
      <w:proofErr w:type="spellStart"/>
      <w:r w:rsidR="000D08B1" w:rsidRPr="001A132B">
        <w:rPr>
          <w:rFonts w:cstheme="minorHAnsi"/>
        </w:rPr>
        <w:t>reversability</w:t>
      </w:r>
      <w:proofErr w:type="spellEnd"/>
      <w:r w:rsidR="00F122D9">
        <w:rPr>
          <w:rFonts w:cstheme="minorHAnsi"/>
        </w:rPr>
        <w:t xml:space="preserve">; </w:t>
      </w:r>
      <w:r w:rsidR="00711291">
        <w:rPr>
          <w:rFonts w:cstheme="minorHAnsi"/>
        </w:rPr>
        <w:t xml:space="preserve">single cell </w:t>
      </w:r>
      <w:proofErr w:type="spellStart"/>
      <w:r w:rsidR="008F2B1D">
        <w:rPr>
          <w:rFonts w:cstheme="minorHAnsi"/>
        </w:rPr>
        <w:t>RNAseq</w:t>
      </w:r>
      <w:proofErr w:type="spellEnd"/>
      <w:r w:rsidR="001639B0">
        <w:rPr>
          <w:rFonts w:cstheme="minorHAnsi"/>
        </w:rPr>
        <w:t xml:space="preserve"> </w:t>
      </w:r>
      <w:r w:rsidR="00F13717">
        <w:rPr>
          <w:rFonts w:cstheme="minorHAnsi"/>
        </w:rPr>
        <w:t>for transcriptomic profiling</w:t>
      </w:r>
      <w:r w:rsidR="00172FF3">
        <w:rPr>
          <w:rFonts w:cstheme="minorHAnsi"/>
        </w:rPr>
        <w:t>.</w:t>
      </w:r>
      <w:r w:rsidR="00F813B0">
        <w:rPr>
          <w:rFonts w:cstheme="minorHAnsi"/>
        </w:rPr>
        <w:t xml:space="preserve"> </w:t>
      </w:r>
      <w:r w:rsidR="00172FF3">
        <w:rPr>
          <w:rFonts w:cstheme="minorHAnsi"/>
        </w:rPr>
        <w:t>A</w:t>
      </w:r>
      <w:r w:rsidR="0087383E">
        <w:rPr>
          <w:rFonts w:cstheme="minorHAnsi"/>
        </w:rPr>
        <w:t xml:space="preserve"> long</w:t>
      </w:r>
      <w:r w:rsidR="00392AD7">
        <w:rPr>
          <w:rFonts w:cstheme="minorHAnsi"/>
        </w:rPr>
        <w:t>-</w:t>
      </w:r>
      <w:r w:rsidR="0087383E">
        <w:rPr>
          <w:rFonts w:cstheme="minorHAnsi"/>
        </w:rPr>
        <w:t xml:space="preserve">term aim is </w:t>
      </w:r>
      <w:r w:rsidR="009A3CD7">
        <w:rPr>
          <w:rFonts w:cstheme="minorHAnsi"/>
        </w:rPr>
        <w:t xml:space="preserve">to develop </w:t>
      </w:r>
      <w:r w:rsidR="009A3CD7">
        <w:rPr>
          <w:rFonts w:cstheme="minorHAnsi"/>
        </w:rPr>
        <w:lastRenderedPageBreak/>
        <w:t>cell lines</w:t>
      </w:r>
      <w:r w:rsidR="00DE02F6">
        <w:rPr>
          <w:rFonts w:cstheme="minorHAnsi"/>
        </w:rPr>
        <w:t xml:space="preserve"> from PPGLs</w:t>
      </w:r>
      <w:r w:rsidR="00E406F3">
        <w:rPr>
          <w:rFonts w:cstheme="minorHAnsi"/>
        </w:rPr>
        <w:t xml:space="preserve"> which retain oxygen sensitivity</w:t>
      </w:r>
      <w:r w:rsidR="00B55364">
        <w:rPr>
          <w:rFonts w:cstheme="minorHAnsi"/>
        </w:rPr>
        <w:t xml:space="preserve">, for example, </w:t>
      </w:r>
      <w:r w:rsidR="00CB797F">
        <w:rPr>
          <w:rFonts w:cstheme="minorHAnsi"/>
        </w:rPr>
        <w:t>using a tissue</w:t>
      </w:r>
      <w:r w:rsidR="0019000A">
        <w:rPr>
          <w:rFonts w:cstheme="minorHAnsi"/>
        </w:rPr>
        <w:t>-</w:t>
      </w:r>
      <w:r w:rsidR="00CB797F">
        <w:rPr>
          <w:rFonts w:cstheme="minorHAnsi"/>
        </w:rPr>
        <w:t>restricted</w:t>
      </w:r>
      <w:r w:rsidR="00DD72D5">
        <w:rPr>
          <w:rFonts w:cstheme="minorHAnsi"/>
        </w:rPr>
        <w:t>, ON-OFF controllable</w:t>
      </w:r>
      <w:r w:rsidR="00291CCF">
        <w:rPr>
          <w:rFonts w:cstheme="minorHAnsi"/>
        </w:rPr>
        <w:t>, oncogenic driver</w:t>
      </w:r>
      <w:r w:rsidR="002005E9">
        <w:rPr>
          <w:rFonts w:cstheme="minorHAnsi"/>
        </w:rPr>
        <w:t xml:space="preserve"> (</w:t>
      </w:r>
      <w:r w:rsidR="0099485B">
        <w:rPr>
          <w:rFonts w:cstheme="minorHAnsi"/>
        </w:rPr>
        <w:t xml:space="preserve">e.g. </w:t>
      </w:r>
      <w:r w:rsidR="0019000A">
        <w:rPr>
          <w:rFonts w:cstheme="minorHAnsi"/>
        </w:rPr>
        <w:t>c</w:t>
      </w:r>
      <w:r w:rsidR="00E410EB">
        <w:rPr>
          <w:rFonts w:cstheme="minorHAnsi"/>
        </w:rPr>
        <w:t>-</w:t>
      </w:r>
      <w:proofErr w:type="spellStart"/>
      <w:r w:rsidR="0019000A">
        <w:rPr>
          <w:rFonts w:cstheme="minorHAnsi"/>
        </w:rPr>
        <w:t>M</w:t>
      </w:r>
      <w:r w:rsidR="00E410EB">
        <w:rPr>
          <w:rFonts w:cstheme="minorHAnsi"/>
        </w:rPr>
        <w:t>yc</w:t>
      </w:r>
      <w:proofErr w:type="spellEnd"/>
      <w:r w:rsidR="00E410EB">
        <w:rPr>
          <w:rFonts w:cstheme="minorHAnsi"/>
        </w:rPr>
        <w:t xml:space="preserve">, SV40 </w:t>
      </w:r>
      <w:r w:rsidR="003115AB">
        <w:rPr>
          <w:rFonts w:cstheme="minorHAnsi"/>
        </w:rPr>
        <w:t>l</w:t>
      </w:r>
      <w:r w:rsidR="00E410EB">
        <w:rPr>
          <w:rFonts w:cstheme="minorHAnsi"/>
        </w:rPr>
        <w:t>arge T antigen)</w:t>
      </w:r>
      <w:r w:rsidR="004E022F">
        <w:rPr>
          <w:rFonts w:cstheme="minorHAnsi"/>
        </w:rPr>
        <w:t xml:space="preserve"> </w:t>
      </w:r>
      <w:r w:rsidR="00745F2C">
        <w:rPr>
          <w:rFonts w:cstheme="minorHAnsi"/>
        </w:rPr>
        <w:t>using specialist approaches in order to</w:t>
      </w:r>
      <w:r w:rsidR="00AF3713">
        <w:rPr>
          <w:rFonts w:cstheme="minorHAnsi"/>
        </w:rPr>
        <w:t xml:space="preserve"> </w:t>
      </w:r>
      <w:r w:rsidR="00283A78">
        <w:rPr>
          <w:rFonts w:cstheme="minorHAnsi"/>
        </w:rPr>
        <w:t>pr</w:t>
      </w:r>
      <w:r w:rsidR="00E41FAE">
        <w:rPr>
          <w:rFonts w:cstheme="minorHAnsi"/>
        </w:rPr>
        <w:t>eserv</w:t>
      </w:r>
      <w:r w:rsidR="00745F2C">
        <w:rPr>
          <w:rFonts w:cstheme="minorHAnsi"/>
        </w:rPr>
        <w:t>e</w:t>
      </w:r>
      <w:r w:rsidR="00EB7D54">
        <w:rPr>
          <w:rFonts w:cstheme="minorHAnsi"/>
        </w:rPr>
        <w:t xml:space="preserve"> characteristics of</w:t>
      </w:r>
      <w:r w:rsidR="00E41FAE">
        <w:rPr>
          <w:rFonts w:cstheme="minorHAnsi"/>
        </w:rPr>
        <w:t xml:space="preserve"> electrophysiological sensing.</w:t>
      </w:r>
    </w:p>
    <w:p w14:paraId="4719AAB5" w14:textId="3EB6B3E0" w:rsidR="00515005" w:rsidRPr="00C44BCD" w:rsidRDefault="00515005" w:rsidP="00AA5C37">
      <w:pPr>
        <w:jc w:val="both"/>
        <w:rPr>
          <w:rFonts w:cstheme="minorHAnsi"/>
          <w:lang w:val="en-GB"/>
        </w:rPr>
      </w:pPr>
    </w:p>
    <w:p w14:paraId="021F7537" w14:textId="2D2D514F" w:rsidR="00515005" w:rsidRPr="00C44BCD" w:rsidRDefault="00515005" w:rsidP="00AA5C37">
      <w:pPr>
        <w:jc w:val="both"/>
        <w:rPr>
          <w:rFonts w:cstheme="minorHAnsi"/>
          <w:b/>
          <w:bCs/>
          <w:lang w:val="en-GB"/>
        </w:rPr>
      </w:pPr>
      <w:r w:rsidRPr="00C44BCD">
        <w:rPr>
          <w:rFonts w:cstheme="minorHAnsi"/>
          <w:b/>
          <w:bCs/>
          <w:lang w:val="en-GB"/>
        </w:rPr>
        <w:t>References</w:t>
      </w:r>
    </w:p>
    <w:p w14:paraId="2CD7D9B8" w14:textId="363C3FC2" w:rsidR="00D32FE5" w:rsidRDefault="0079053D" w:rsidP="00A61386">
      <w:pPr>
        <w:pStyle w:val="EndNoteBibliography"/>
        <w:ind w:left="720" w:hanging="720"/>
        <w:rPr>
          <w:rFonts w:asciiTheme="majorHAnsi" w:hAnsiTheme="majorHAnsi" w:cstheme="majorHAnsi"/>
          <w:noProof/>
          <w:sz w:val="20"/>
          <w:szCs w:val="20"/>
        </w:rPr>
      </w:pPr>
      <w:r w:rsidRPr="002A657D">
        <w:rPr>
          <w:rFonts w:asciiTheme="majorHAnsi" w:hAnsiTheme="majorHAnsi" w:cstheme="majorHAnsi"/>
          <w:sz w:val="20"/>
          <w:szCs w:val="20"/>
        </w:rPr>
        <w:fldChar w:fldCharType="begin"/>
      </w:r>
      <w:r w:rsidRPr="002A657D">
        <w:rPr>
          <w:rFonts w:asciiTheme="majorHAnsi" w:hAnsiTheme="majorHAnsi" w:cstheme="majorHAnsi"/>
          <w:sz w:val="20"/>
          <w:szCs w:val="20"/>
        </w:rPr>
        <w:instrText xml:space="preserve"> ADDIN EN.REFLIST </w:instrText>
      </w:r>
      <w:r w:rsidRPr="002A657D">
        <w:rPr>
          <w:rFonts w:asciiTheme="majorHAnsi" w:hAnsiTheme="majorHAnsi" w:cstheme="majorHAnsi"/>
          <w:sz w:val="20"/>
          <w:szCs w:val="20"/>
        </w:rPr>
        <w:fldChar w:fldCharType="separate"/>
      </w:r>
      <w:r w:rsidRPr="002A657D">
        <w:rPr>
          <w:rFonts w:asciiTheme="majorHAnsi" w:hAnsiTheme="majorHAnsi" w:cstheme="majorHAnsi"/>
          <w:noProof/>
          <w:sz w:val="20"/>
          <w:szCs w:val="20"/>
        </w:rPr>
        <w:t>1</w:t>
      </w:r>
      <w:r w:rsidRPr="002A657D">
        <w:rPr>
          <w:rFonts w:asciiTheme="majorHAnsi" w:hAnsiTheme="majorHAnsi" w:cstheme="majorHAnsi"/>
          <w:noProof/>
          <w:sz w:val="20"/>
          <w:szCs w:val="20"/>
        </w:rPr>
        <w:tab/>
      </w:r>
      <w:r w:rsidR="00D32FE5">
        <w:rPr>
          <w:rFonts w:asciiTheme="majorHAnsi" w:hAnsiTheme="majorHAnsi" w:cstheme="majorHAnsi"/>
          <w:noProof/>
          <w:sz w:val="20"/>
          <w:szCs w:val="20"/>
        </w:rPr>
        <w:t xml:space="preserve">Dahia, PLM </w:t>
      </w:r>
      <w:r w:rsidR="00D32FE5" w:rsidRPr="00A47A14">
        <w:rPr>
          <w:rFonts w:asciiTheme="majorHAnsi" w:hAnsiTheme="majorHAnsi" w:cstheme="majorHAnsi"/>
          <w:i/>
          <w:iCs/>
          <w:noProof/>
          <w:sz w:val="20"/>
          <w:szCs w:val="20"/>
        </w:rPr>
        <w:t>et al.</w:t>
      </w:r>
      <w:r w:rsidR="00D32FE5">
        <w:rPr>
          <w:rFonts w:asciiTheme="majorHAnsi" w:hAnsiTheme="majorHAnsi" w:cstheme="majorHAnsi"/>
          <w:noProof/>
          <w:sz w:val="20"/>
          <w:szCs w:val="20"/>
        </w:rPr>
        <w:t xml:space="preserve"> </w:t>
      </w:r>
      <w:r w:rsidR="00E60051">
        <w:rPr>
          <w:rFonts w:asciiTheme="majorHAnsi" w:hAnsiTheme="majorHAnsi" w:cstheme="majorHAnsi"/>
          <w:noProof/>
          <w:sz w:val="20"/>
          <w:szCs w:val="20"/>
        </w:rPr>
        <w:t xml:space="preserve">Recognising hypoxia in phaeochromocytomas and paragangliomas. </w:t>
      </w:r>
      <w:r w:rsidR="009F40FD" w:rsidRPr="00A47A14">
        <w:rPr>
          <w:rFonts w:asciiTheme="majorHAnsi" w:hAnsiTheme="majorHAnsi" w:cstheme="majorHAnsi"/>
          <w:i/>
          <w:iCs/>
          <w:noProof/>
          <w:sz w:val="20"/>
          <w:szCs w:val="20"/>
        </w:rPr>
        <w:t xml:space="preserve">Nat Rev Endocrinol </w:t>
      </w:r>
      <w:r w:rsidR="00ED2ABB" w:rsidRPr="00CF4F65">
        <w:rPr>
          <w:rFonts w:asciiTheme="majorHAnsi" w:hAnsiTheme="majorHAnsi" w:cstheme="majorHAnsi"/>
          <w:b/>
          <w:bCs/>
          <w:noProof/>
          <w:sz w:val="20"/>
          <w:szCs w:val="20"/>
        </w:rPr>
        <w:t>16</w:t>
      </w:r>
      <w:r w:rsidR="00ED2ABB">
        <w:rPr>
          <w:rFonts w:asciiTheme="majorHAnsi" w:hAnsiTheme="majorHAnsi" w:cstheme="majorHAnsi"/>
          <w:noProof/>
          <w:sz w:val="20"/>
          <w:szCs w:val="20"/>
        </w:rPr>
        <w:t>, 191-192 (2020).</w:t>
      </w:r>
    </w:p>
    <w:p w14:paraId="61EEFE98" w14:textId="6DE926A3" w:rsidR="00DD1A0E" w:rsidRPr="002A657D" w:rsidRDefault="00D32FE5" w:rsidP="00DD1A0E">
      <w:pPr>
        <w:pStyle w:val="EndNoteBibliography"/>
        <w:ind w:left="720" w:hanging="720"/>
        <w:rPr>
          <w:rFonts w:asciiTheme="majorHAnsi" w:hAnsiTheme="majorHAnsi" w:cstheme="majorHAnsi"/>
          <w:noProof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w:t>2</w:t>
      </w:r>
      <w:r>
        <w:rPr>
          <w:rFonts w:asciiTheme="majorHAnsi" w:hAnsiTheme="majorHAnsi" w:cstheme="majorHAnsi"/>
          <w:noProof/>
          <w:sz w:val="20"/>
          <w:szCs w:val="20"/>
        </w:rPr>
        <w:tab/>
      </w:r>
      <w:r w:rsidR="00DD1A0E" w:rsidRPr="002A657D">
        <w:rPr>
          <w:rFonts w:asciiTheme="majorHAnsi" w:hAnsiTheme="majorHAnsi" w:cstheme="majorHAnsi"/>
          <w:noProof/>
          <w:sz w:val="20"/>
          <w:szCs w:val="20"/>
        </w:rPr>
        <w:t>Eckardt, L.</w:t>
      </w:r>
      <w:r w:rsidR="00DD1A0E" w:rsidRPr="002A657D">
        <w:rPr>
          <w:rFonts w:asciiTheme="majorHAnsi" w:hAnsiTheme="majorHAnsi" w:cstheme="majorHAnsi"/>
          <w:i/>
          <w:noProof/>
          <w:sz w:val="20"/>
          <w:szCs w:val="20"/>
        </w:rPr>
        <w:t xml:space="preserve"> et al.</w:t>
      </w:r>
      <w:r w:rsidR="00DD1A0E" w:rsidRPr="002A657D">
        <w:rPr>
          <w:rFonts w:asciiTheme="majorHAnsi" w:hAnsiTheme="majorHAnsi" w:cstheme="majorHAnsi"/>
          <w:noProof/>
          <w:sz w:val="20"/>
          <w:szCs w:val="20"/>
        </w:rPr>
        <w:t xml:space="preserve"> Developmental role of PHD2 in the pathogenesis of pseudohypoxic pheochromocytoma. </w:t>
      </w:r>
      <w:r w:rsidR="00DD1A0E" w:rsidRPr="002A657D">
        <w:rPr>
          <w:rFonts w:asciiTheme="majorHAnsi" w:hAnsiTheme="majorHAnsi" w:cstheme="majorHAnsi"/>
          <w:i/>
          <w:noProof/>
          <w:sz w:val="20"/>
          <w:szCs w:val="20"/>
        </w:rPr>
        <w:t>Endocr Relat Cancer</w:t>
      </w:r>
      <w:r w:rsidR="00DD1A0E" w:rsidRPr="002A657D">
        <w:rPr>
          <w:rFonts w:asciiTheme="majorHAnsi" w:hAnsiTheme="majorHAnsi" w:cstheme="majorHAnsi"/>
          <w:noProof/>
          <w:sz w:val="20"/>
          <w:szCs w:val="20"/>
        </w:rPr>
        <w:t xml:space="preserve"> </w:t>
      </w:r>
      <w:r w:rsidR="00DD1A0E" w:rsidRPr="002A657D">
        <w:rPr>
          <w:rFonts w:asciiTheme="majorHAnsi" w:hAnsiTheme="majorHAnsi" w:cstheme="majorHAnsi"/>
          <w:b/>
          <w:noProof/>
          <w:sz w:val="20"/>
          <w:szCs w:val="20"/>
        </w:rPr>
        <w:t>28</w:t>
      </w:r>
      <w:r w:rsidR="00DD1A0E" w:rsidRPr="002A657D">
        <w:rPr>
          <w:rFonts w:asciiTheme="majorHAnsi" w:hAnsiTheme="majorHAnsi" w:cstheme="majorHAnsi"/>
          <w:noProof/>
          <w:sz w:val="20"/>
          <w:szCs w:val="20"/>
        </w:rPr>
        <w:t>, 757-772, doi:10.1530/ERC-21-0211 (2021).</w:t>
      </w:r>
    </w:p>
    <w:p w14:paraId="17D5035E" w14:textId="69BF9761" w:rsidR="00DD1A0E" w:rsidRDefault="005F5A7B" w:rsidP="002D551D">
      <w:pPr>
        <w:pStyle w:val="EndNoteBibliography"/>
        <w:ind w:left="720" w:hanging="720"/>
        <w:rPr>
          <w:rFonts w:asciiTheme="majorHAnsi" w:hAnsiTheme="majorHAnsi" w:cstheme="majorHAnsi"/>
          <w:noProof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w:t>3</w:t>
      </w:r>
      <w:r w:rsidR="00DD1A0E" w:rsidRPr="002A657D">
        <w:rPr>
          <w:rFonts w:asciiTheme="majorHAnsi" w:hAnsiTheme="majorHAnsi" w:cstheme="majorHAnsi"/>
          <w:noProof/>
          <w:sz w:val="20"/>
          <w:szCs w:val="20"/>
        </w:rPr>
        <w:tab/>
        <w:t>Fielding, J. W.</w:t>
      </w:r>
      <w:r w:rsidR="00DD1A0E" w:rsidRPr="002A657D">
        <w:rPr>
          <w:rFonts w:asciiTheme="majorHAnsi" w:hAnsiTheme="majorHAnsi" w:cstheme="majorHAnsi"/>
          <w:i/>
          <w:noProof/>
          <w:sz w:val="20"/>
          <w:szCs w:val="20"/>
        </w:rPr>
        <w:t xml:space="preserve"> et al.</w:t>
      </w:r>
      <w:r w:rsidR="00DD1A0E" w:rsidRPr="002A657D">
        <w:rPr>
          <w:rFonts w:asciiTheme="majorHAnsi" w:hAnsiTheme="majorHAnsi" w:cstheme="majorHAnsi"/>
          <w:noProof/>
          <w:sz w:val="20"/>
          <w:szCs w:val="20"/>
        </w:rPr>
        <w:t xml:space="preserve"> PHD2 inactivation in Type I cells drives HIF-2alpha-dependent multilineage hyperplasia and the formation of paraganglioma-like carotid bodies. </w:t>
      </w:r>
      <w:r w:rsidR="00DD1A0E" w:rsidRPr="002A657D">
        <w:rPr>
          <w:rFonts w:asciiTheme="majorHAnsi" w:hAnsiTheme="majorHAnsi" w:cstheme="majorHAnsi"/>
          <w:i/>
          <w:noProof/>
          <w:sz w:val="20"/>
          <w:szCs w:val="20"/>
        </w:rPr>
        <w:t>J Physiol</w:t>
      </w:r>
      <w:r w:rsidR="00DD1A0E" w:rsidRPr="002A657D">
        <w:rPr>
          <w:rFonts w:asciiTheme="majorHAnsi" w:hAnsiTheme="majorHAnsi" w:cstheme="majorHAnsi"/>
          <w:noProof/>
          <w:sz w:val="20"/>
          <w:szCs w:val="20"/>
        </w:rPr>
        <w:t>, doi:10.1113/JP275996 (2018).</w:t>
      </w:r>
    </w:p>
    <w:p w14:paraId="63DD270B" w14:textId="2A1B7A3B" w:rsidR="004A263E" w:rsidRDefault="005F5A7B" w:rsidP="004A263E">
      <w:pPr>
        <w:pStyle w:val="EndNoteBibliography"/>
        <w:ind w:left="720" w:hanging="720"/>
        <w:rPr>
          <w:rFonts w:asciiTheme="majorHAnsi" w:hAnsiTheme="majorHAnsi" w:cstheme="majorHAnsi"/>
          <w:noProof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w:t>4</w:t>
      </w:r>
      <w:r w:rsidR="004A263E" w:rsidRPr="002A657D">
        <w:rPr>
          <w:rFonts w:asciiTheme="majorHAnsi" w:hAnsiTheme="majorHAnsi" w:cstheme="majorHAnsi"/>
          <w:noProof/>
          <w:sz w:val="20"/>
          <w:szCs w:val="20"/>
        </w:rPr>
        <w:tab/>
        <w:t>Cheng, X.</w:t>
      </w:r>
      <w:r w:rsidR="004A263E" w:rsidRPr="002A657D">
        <w:rPr>
          <w:rFonts w:asciiTheme="majorHAnsi" w:hAnsiTheme="majorHAnsi" w:cstheme="majorHAnsi"/>
          <w:i/>
          <w:noProof/>
          <w:sz w:val="20"/>
          <w:szCs w:val="20"/>
        </w:rPr>
        <w:t xml:space="preserve"> et al.</w:t>
      </w:r>
      <w:r w:rsidR="004A263E" w:rsidRPr="002A657D">
        <w:rPr>
          <w:rFonts w:asciiTheme="majorHAnsi" w:hAnsiTheme="majorHAnsi" w:cstheme="majorHAnsi"/>
          <w:noProof/>
          <w:sz w:val="20"/>
          <w:szCs w:val="20"/>
        </w:rPr>
        <w:t xml:space="preserve"> Marked and rapid effects of pharmacological HIF-2alpha antagonism on hypoxic ventilatory control. </w:t>
      </w:r>
      <w:r w:rsidR="004A263E" w:rsidRPr="002A657D">
        <w:rPr>
          <w:rFonts w:asciiTheme="majorHAnsi" w:hAnsiTheme="majorHAnsi" w:cstheme="majorHAnsi"/>
          <w:i/>
          <w:noProof/>
          <w:sz w:val="20"/>
          <w:szCs w:val="20"/>
        </w:rPr>
        <w:t>J Clin Invest</w:t>
      </w:r>
      <w:r w:rsidR="004A263E" w:rsidRPr="002A657D">
        <w:rPr>
          <w:rFonts w:asciiTheme="majorHAnsi" w:hAnsiTheme="majorHAnsi" w:cstheme="majorHAnsi"/>
          <w:noProof/>
          <w:sz w:val="20"/>
          <w:szCs w:val="20"/>
        </w:rPr>
        <w:t xml:space="preserve"> </w:t>
      </w:r>
      <w:r w:rsidR="004A263E" w:rsidRPr="002A657D">
        <w:rPr>
          <w:rFonts w:asciiTheme="majorHAnsi" w:hAnsiTheme="majorHAnsi" w:cstheme="majorHAnsi"/>
          <w:b/>
          <w:noProof/>
          <w:sz w:val="20"/>
          <w:szCs w:val="20"/>
        </w:rPr>
        <w:t>130</w:t>
      </w:r>
      <w:r w:rsidR="004A263E" w:rsidRPr="002A657D">
        <w:rPr>
          <w:rFonts w:asciiTheme="majorHAnsi" w:hAnsiTheme="majorHAnsi" w:cstheme="majorHAnsi"/>
          <w:noProof/>
          <w:sz w:val="20"/>
          <w:szCs w:val="20"/>
        </w:rPr>
        <w:t>, 2237-2251, doi:10.1172/JCI133194 (2020).</w:t>
      </w:r>
    </w:p>
    <w:p w14:paraId="422DDBB3" w14:textId="03F29F02" w:rsidR="00505C77" w:rsidRDefault="005F5A7B" w:rsidP="004A263E">
      <w:pPr>
        <w:pStyle w:val="EndNoteBibliography"/>
        <w:ind w:left="720" w:hanging="720"/>
        <w:rPr>
          <w:rFonts w:asciiTheme="majorHAnsi" w:hAnsiTheme="majorHAnsi" w:cstheme="majorHAnsi"/>
          <w:noProof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w:t>5</w:t>
      </w:r>
      <w:r w:rsidR="00505C77">
        <w:rPr>
          <w:rFonts w:asciiTheme="majorHAnsi" w:hAnsiTheme="majorHAnsi" w:cstheme="majorHAnsi"/>
          <w:noProof/>
          <w:sz w:val="20"/>
          <w:szCs w:val="20"/>
        </w:rPr>
        <w:tab/>
        <w:t>Hodson</w:t>
      </w:r>
      <w:r w:rsidR="004D4945">
        <w:rPr>
          <w:rFonts w:asciiTheme="majorHAnsi" w:hAnsiTheme="majorHAnsi" w:cstheme="majorHAnsi"/>
          <w:noProof/>
          <w:sz w:val="20"/>
          <w:szCs w:val="20"/>
        </w:rPr>
        <w:t>, E.</w:t>
      </w:r>
      <w:r w:rsidR="00505C77">
        <w:rPr>
          <w:rFonts w:asciiTheme="majorHAnsi" w:hAnsiTheme="majorHAnsi" w:cstheme="majorHAnsi"/>
          <w:noProof/>
          <w:sz w:val="20"/>
          <w:szCs w:val="20"/>
        </w:rPr>
        <w:t xml:space="preserve"> </w:t>
      </w:r>
      <w:r w:rsidR="00505C77" w:rsidRPr="004D4945">
        <w:rPr>
          <w:rFonts w:asciiTheme="majorHAnsi" w:hAnsiTheme="majorHAnsi" w:cstheme="majorHAnsi"/>
          <w:i/>
          <w:iCs/>
          <w:noProof/>
          <w:sz w:val="20"/>
          <w:szCs w:val="20"/>
        </w:rPr>
        <w:t>et al</w:t>
      </w:r>
      <w:r w:rsidR="004D4945">
        <w:rPr>
          <w:rFonts w:asciiTheme="majorHAnsi" w:hAnsiTheme="majorHAnsi" w:cstheme="majorHAnsi"/>
          <w:noProof/>
          <w:sz w:val="20"/>
          <w:szCs w:val="20"/>
        </w:rPr>
        <w:t xml:space="preserve">. </w:t>
      </w:r>
      <w:r w:rsidR="00D4404A">
        <w:rPr>
          <w:rFonts w:asciiTheme="majorHAnsi" w:hAnsiTheme="majorHAnsi" w:cstheme="majorHAnsi"/>
          <w:noProof/>
          <w:sz w:val="20"/>
          <w:szCs w:val="20"/>
        </w:rPr>
        <w:t>Regulation of ventilatory sensitivity</w:t>
      </w:r>
      <w:r w:rsidR="00BE7321">
        <w:rPr>
          <w:rFonts w:asciiTheme="majorHAnsi" w:hAnsiTheme="majorHAnsi" w:cstheme="majorHAnsi"/>
          <w:noProof/>
          <w:sz w:val="20"/>
          <w:szCs w:val="20"/>
        </w:rPr>
        <w:t xml:space="preserve"> and carotid body proliferation</w:t>
      </w:r>
      <w:r w:rsidR="00925A39">
        <w:rPr>
          <w:rFonts w:asciiTheme="majorHAnsi" w:hAnsiTheme="majorHAnsi" w:cstheme="majorHAnsi"/>
          <w:noProof/>
          <w:sz w:val="20"/>
          <w:szCs w:val="20"/>
        </w:rPr>
        <w:t xml:space="preserve"> in hypoxia by the PHD2/HIF-2 pathway.</w:t>
      </w:r>
      <w:r w:rsidR="00323646">
        <w:rPr>
          <w:rFonts w:asciiTheme="majorHAnsi" w:hAnsiTheme="majorHAnsi" w:cstheme="majorHAnsi"/>
          <w:noProof/>
          <w:sz w:val="20"/>
          <w:szCs w:val="20"/>
        </w:rPr>
        <w:t xml:space="preserve"> J Physiol </w:t>
      </w:r>
      <w:r w:rsidR="00A157D8" w:rsidRPr="002D70AF">
        <w:rPr>
          <w:rFonts w:asciiTheme="majorHAnsi" w:hAnsiTheme="majorHAnsi" w:cstheme="majorHAnsi"/>
          <w:b/>
          <w:bCs/>
          <w:noProof/>
          <w:sz w:val="20"/>
          <w:szCs w:val="20"/>
        </w:rPr>
        <w:t>594</w:t>
      </w:r>
      <w:r w:rsidR="00A157D8">
        <w:rPr>
          <w:rFonts w:asciiTheme="majorHAnsi" w:hAnsiTheme="majorHAnsi" w:cstheme="majorHAnsi"/>
          <w:noProof/>
          <w:sz w:val="20"/>
          <w:szCs w:val="20"/>
        </w:rPr>
        <w:t xml:space="preserve">, </w:t>
      </w:r>
      <w:r w:rsidR="00F532AC">
        <w:rPr>
          <w:rFonts w:asciiTheme="majorHAnsi" w:hAnsiTheme="majorHAnsi" w:cstheme="majorHAnsi"/>
          <w:noProof/>
          <w:sz w:val="20"/>
          <w:szCs w:val="20"/>
        </w:rPr>
        <w:t>1179-1195</w:t>
      </w:r>
      <w:r w:rsidR="00264D20">
        <w:rPr>
          <w:rFonts w:asciiTheme="majorHAnsi" w:hAnsiTheme="majorHAnsi" w:cstheme="majorHAnsi"/>
          <w:noProof/>
          <w:sz w:val="20"/>
          <w:szCs w:val="20"/>
        </w:rPr>
        <w:t xml:space="preserve"> (2016).</w:t>
      </w:r>
    </w:p>
    <w:p w14:paraId="11FB263F" w14:textId="382AE27E" w:rsidR="0079053D" w:rsidRPr="002A657D" w:rsidRDefault="005F5A7B" w:rsidP="0079053D">
      <w:pPr>
        <w:pStyle w:val="EndNoteBibliography"/>
        <w:ind w:left="720" w:hanging="720"/>
        <w:rPr>
          <w:rFonts w:asciiTheme="majorHAnsi" w:hAnsiTheme="majorHAnsi" w:cstheme="majorHAnsi"/>
          <w:noProof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w:t>6</w:t>
      </w:r>
      <w:r w:rsidR="002851FC">
        <w:rPr>
          <w:rFonts w:asciiTheme="majorHAnsi" w:hAnsiTheme="majorHAnsi" w:cstheme="majorHAnsi"/>
          <w:noProof/>
          <w:sz w:val="20"/>
          <w:szCs w:val="20"/>
        </w:rPr>
        <w:tab/>
      </w:r>
      <w:r w:rsidR="0079053D" w:rsidRPr="002A657D">
        <w:rPr>
          <w:rFonts w:asciiTheme="majorHAnsi" w:hAnsiTheme="majorHAnsi" w:cstheme="majorHAnsi"/>
          <w:noProof/>
          <w:sz w:val="20"/>
          <w:szCs w:val="20"/>
        </w:rPr>
        <w:t>Courtney, K. D.</w:t>
      </w:r>
      <w:r w:rsidR="0079053D" w:rsidRPr="002A657D">
        <w:rPr>
          <w:rFonts w:asciiTheme="majorHAnsi" w:hAnsiTheme="majorHAnsi" w:cstheme="majorHAnsi"/>
          <w:i/>
          <w:noProof/>
          <w:sz w:val="20"/>
          <w:szCs w:val="20"/>
        </w:rPr>
        <w:t xml:space="preserve"> et al.</w:t>
      </w:r>
      <w:r w:rsidR="0079053D" w:rsidRPr="002A657D">
        <w:rPr>
          <w:rFonts w:asciiTheme="majorHAnsi" w:hAnsiTheme="majorHAnsi" w:cstheme="majorHAnsi"/>
          <w:noProof/>
          <w:sz w:val="20"/>
          <w:szCs w:val="20"/>
        </w:rPr>
        <w:t xml:space="preserve"> Phase I Dose-Escalation Trial of PT2385, a First-in-Class Hypoxia-Inducible Factor-2alpha Antagonist in Patients With Previously Treated Advanced Clear Cell Renal Cell Carcinoma. </w:t>
      </w:r>
      <w:r w:rsidR="0079053D" w:rsidRPr="002A657D">
        <w:rPr>
          <w:rFonts w:asciiTheme="majorHAnsi" w:hAnsiTheme="majorHAnsi" w:cstheme="majorHAnsi"/>
          <w:i/>
          <w:noProof/>
          <w:sz w:val="20"/>
          <w:szCs w:val="20"/>
        </w:rPr>
        <w:t>J Clin Oncol</w:t>
      </w:r>
      <w:r w:rsidR="0079053D" w:rsidRPr="002A657D">
        <w:rPr>
          <w:rFonts w:asciiTheme="majorHAnsi" w:hAnsiTheme="majorHAnsi" w:cstheme="majorHAnsi"/>
          <w:noProof/>
          <w:sz w:val="20"/>
          <w:szCs w:val="20"/>
        </w:rPr>
        <w:t xml:space="preserve"> </w:t>
      </w:r>
      <w:r w:rsidR="0079053D" w:rsidRPr="002A657D">
        <w:rPr>
          <w:rFonts w:asciiTheme="majorHAnsi" w:hAnsiTheme="majorHAnsi" w:cstheme="majorHAnsi"/>
          <w:b/>
          <w:noProof/>
          <w:sz w:val="20"/>
          <w:szCs w:val="20"/>
        </w:rPr>
        <w:t>36</w:t>
      </w:r>
      <w:r w:rsidR="0079053D" w:rsidRPr="002A657D">
        <w:rPr>
          <w:rFonts w:asciiTheme="majorHAnsi" w:hAnsiTheme="majorHAnsi" w:cstheme="majorHAnsi"/>
          <w:noProof/>
          <w:sz w:val="20"/>
          <w:szCs w:val="20"/>
        </w:rPr>
        <w:t>, 867-874, doi:10.1200/JCO.2017.74.2627 (2018).</w:t>
      </w:r>
    </w:p>
    <w:p w14:paraId="6AF6FB34" w14:textId="0AD90662" w:rsidR="0079053D" w:rsidRPr="002A657D" w:rsidRDefault="005F5A7B" w:rsidP="0079053D">
      <w:pPr>
        <w:pStyle w:val="EndNoteBibliography"/>
        <w:ind w:left="720" w:hanging="720"/>
        <w:rPr>
          <w:rFonts w:asciiTheme="majorHAnsi" w:hAnsiTheme="majorHAnsi" w:cstheme="majorHAnsi"/>
          <w:noProof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w:t>7</w:t>
      </w:r>
      <w:r w:rsidR="0079053D" w:rsidRPr="002A657D">
        <w:rPr>
          <w:rFonts w:asciiTheme="majorHAnsi" w:hAnsiTheme="majorHAnsi" w:cstheme="majorHAnsi"/>
          <w:noProof/>
          <w:sz w:val="20"/>
          <w:szCs w:val="20"/>
        </w:rPr>
        <w:tab/>
        <w:t>Cho, H.</w:t>
      </w:r>
      <w:r w:rsidR="0079053D" w:rsidRPr="002A657D">
        <w:rPr>
          <w:rFonts w:asciiTheme="majorHAnsi" w:hAnsiTheme="majorHAnsi" w:cstheme="majorHAnsi"/>
          <w:i/>
          <w:noProof/>
          <w:sz w:val="20"/>
          <w:szCs w:val="20"/>
        </w:rPr>
        <w:t xml:space="preserve"> et al.</w:t>
      </w:r>
      <w:r w:rsidR="0079053D" w:rsidRPr="002A657D">
        <w:rPr>
          <w:rFonts w:asciiTheme="majorHAnsi" w:hAnsiTheme="majorHAnsi" w:cstheme="majorHAnsi"/>
          <w:noProof/>
          <w:sz w:val="20"/>
          <w:szCs w:val="20"/>
        </w:rPr>
        <w:t xml:space="preserve"> On-target efficacy of a HIF-2alpha antagonist in preclinical kidney cancer models. </w:t>
      </w:r>
      <w:r w:rsidR="0079053D" w:rsidRPr="002A657D">
        <w:rPr>
          <w:rFonts w:asciiTheme="majorHAnsi" w:hAnsiTheme="majorHAnsi" w:cstheme="majorHAnsi"/>
          <w:i/>
          <w:noProof/>
          <w:sz w:val="20"/>
          <w:szCs w:val="20"/>
        </w:rPr>
        <w:t>Nature</w:t>
      </w:r>
      <w:r w:rsidR="0079053D" w:rsidRPr="002A657D">
        <w:rPr>
          <w:rFonts w:asciiTheme="majorHAnsi" w:hAnsiTheme="majorHAnsi" w:cstheme="majorHAnsi"/>
          <w:noProof/>
          <w:sz w:val="20"/>
          <w:szCs w:val="20"/>
        </w:rPr>
        <w:t xml:space="preserve"> </w:t>
      </w:r>
      <w:r w:rsidR="0079053D" w:rsidRPr="002A657D">
        <w:rPr>
          <w:rFonts w:asciiTheme="majorHAnsi" w:hAnsiTheme="majorHAnsi" w:cstheme="majorHAnsi"/>
          <w:b/>
          <w:noProof/>
          <w:sz w:val="20"/>
          <w:szCs w:val="20"/>
        </w:rPr>
        <w:t>539</w:t>
      </w:r>
      <w:r w:rsidR="0079053D" w:rsidRPr="002A657D">
        <w:rPr>
          <w:rFonts w:asciiTheme="majorHAnsi" w:hAnsiTheme="majorHAnsi" w:cstheme="majorHAnsi"/>
          <w:noProof/>
          <w:sz w:val="20"/>
          <w:szCs w:val="20"/>
        </w:rPr>
        <w:t>, 107-111, doi:10.1038/nature19795 (2016).</w:t>
      </w:r>
    </w:p>
    <w:p w14:paraId="200FDC33" w14:textId="3F7F5BCC" w:rsidR="0079053D" w:rsidRDefault="005F5A7B" w:rsidP="0079053D">
      <w:pPr>
        <w:pStyle w:val="EndNoteBibliography"/>
        <w:ind w:left="720" w:hanging="720"/>
        <w:rPr>
          <w:rFonts w:asciiTheme="majorHAnsi" w:hAnsiTheme="majorHAnsi" w:cstheme="majorHAnsi"/>
          <w:noProof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w:t>8</w:t>
      </w:r>
      <w:r w:rsidR="0079053D" w:rsidRPr="002A657D">
        <w:rPr>
          <w:rFonts w:asciiTheme="majorHAnsi" w:hAnsiTheme="majorHAnsi" w:cstheme="majorHAnsi"/>
          <w:noProof/>
          <w:sz w:val="20"/>
          <w:szCs w:val="20"/>
        </w:rPr>
        <w:tab/>
        <w:t>Wallace, E. M.</w:t>
      </w:r>
      <w:r w:rsidR="0079053D" w:rsidRPr="002A657D">
        <w:rPr>
          <w:rFonts w:asciiTheme="majorHAnsi" w:hAnsiTheme="majorHAnsi" w:cstheme="majorHAnsi"/>
          <w:i/>
          <w:noProof/>
          <w:sz w:val="20"/>
          <w:szCs w:val="20"/>
        </w:rPr>
        <w:t xml:space="preserve"> et al.</w:t>
      </w:r>
      <w:r w:rsidR="0079053D" w:rsidRPr="002A657D">
        <w:rPr>
          <w:rFonts w:asciiTheme="majorHAnsi" w:hAnsiTheme="majorHAnsi" w:cstheme="majorHAnsi"/>
          <w:noProof/>
          <w:sz w:val="20"/>
          <w:szCs w:val="20"/>
        </w:rPr>
        <w:t xml:space="preserve"> A Small-Molecule Antagonist of HIF2alpha Is Efficacious in Preclinical Models of Renal Cell Carcinoma. </w:t>
      </w:r>
      <w:r w:rsidR="0079053D" w:rsidRPr="002A657D">
        <w:rPr>
          <w:rFonts w:asciiTheme="majorHAnsi" w:hAnsiTheme="majorHAnsi" w:cstheme="majorHAnsi"/>
          <w:i/>
          <w:noProof/>
          <w:sz w:val="20"/>
          <w:szCs w:val="20"/>
        </w:rPr>
        <w:t>Cancer Res</w:t>
      </w:r>
      <w:r w:rsidR="0079053D" w:rsidRPr="002A657D">
        <w:rPr>
          <w:rFonts w:asciiTheme="majorHAnsi" w:hAnsiTheme="majorHAnsi" w:cstheme="majorHAnsi"/>
          <w:noProof/>
          <w:sz w:val="20"/>
          <w:szCs w:val="20"/>
        </w:rPr>
        <w:t xml:space="preserve"> </w:t>
      </w:r>
      <w:r w:rsidR="0079053D" w:rsidRPr="002A657D">
        <w:rPr>
          <w:rFonts w:asciiTheme="majorHAnsi" w:hAnsiTheme="majorHAnsi" w:cstheme="majorHAnsi"/>
          <w:b/>
          <w:noProof/>
          <w:sz w:val="20"/>
          <w:szCs w:val="20"/>
        </w:rPr>
        <w:t>76</w:t>
      </w:r>
      <w:r w:rsidR="0079053D" w:rsidRPr="002A657D">
        <w:rPr>
          <w:rFonts w:asciiTheme="majorHAnsi" w:hAnsiTheme="majorHAnsi" w:cstheme="majorHAnsi"/>
          <w:noProof/>
          <w:sz w:val="20"/>
          <w:szCs w:val="20"/>
        </w:rPr>
        <w:t>, 5491-5500, doi:10.1158/0008-5472.CAN-16-0473 (2016).</w:t>
      </w:r>
    </w:p>
    <w:p w14:paraId="4B201942" w14:textId="2FE46686" w:rsidR="009D7B76" w:rsidRPr="002A657D" w:rsidRDefault="005F5A7B" w:rsidP="0079053D">
      <w:pPr>
        <w:pStyle w:val="EndNoteBibliography"/>
        <w:ind w:left="720" w:hanging="720"/>
        <w:rPr>
          <w:rFonts w:asciiTheme="majorHAnsi" w:hAnsiTheme="majorHAnsi" w:cstheme="majorHAnsi"/>
          <w:noProof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w:t>9</w:t>
      </w:r>
      <w:r w:rsidR="009D7B76">
        <w:rPr>
          <w:rFonts w:asciiTheme="majorHAnsi" w:hAnsiTheme="majorHAnsi" w:cstheme="majorHAnsi"/>
          <w:noProof/>
          <w:sz w:val="20"/>
          <w:szCs w:val="20"/>
        </w:rPr>
        <w:tab/>
      </w:r>
      <w:r w:rsidR="00670431">
        <w:rPr>
          <w:rFonts w:asciiTheme="majorHAnsi" w:hAnsiTheme="majorHAnsi" w:cstheme="majorHAnsi"/>
          <w:noProof/>
          <w:sz w:val="20"/>
          <w:szCs w:val="20"/>
        </w:rPr>
        <w:t xml:space="preserve">Kamihara, J et al. Belzutifan, a potent HIF-2alpha inhibitor, in the Pacak-Zhuang syndrome. </w:t>
      </w:r>
      <w:r w:rsidR="005E73FB" w:rsidRPr="00EF4EC0">
        <w:rPr>
          <w:rFonts w:asciiTheme="majorHAnsi" w:hAnsiTheme="majorHAnsi" w:cstheme="majorHAnsi"/>
          <w:i/>
          <w:iCs/>
          <w:noProof/>
          <w:sz w:val="20"/>
          <w:szCs w:val="20"/>
        </w:rPr>
        <w:t xml:space="preserve">N Eng J Med </w:t>
      </w:r>
      <w:r w:rsidR="005E73FB" w:rsidRPr="00DB3875">
        <w:rPr>
          <w:rFonts w:asciiTheme="majorHAnsi" w:hAnsiTheme="majorHAnsi" w:cstheme="majorHAnsi"/>
          <w:b/>
          <w:bCs/>
          <w:noProof/>
          <w:sz w:val="20"/>
          <w:szCs w:val="20"/>
        </w:rPr>
        <w:t>385</w:t>
      </w:r>
      <w:r w:rsidR="00223936">
        <w:rPr>
          <w:rFonts w:asciiTheme="majorHAnsi" w:hAnsiTheme="majorHAnsi" w:cstheme="majorHAnsi"/>
          <w:noProof/>
          <w:sz w:val="20"/>
          <w:szCs w:val="20"/>
        </w:rPr>
        <w:t>, 2059-2065 (2021).</w:t>
      </w:r>
    </w:p>
    <w:p w14:paraId="3A2C6147" w14:textId="534AE542" w:rsidR="007D3E10" w:rsidRPr="00C44BCD" w:rsidRDefault="0079053D" w:rsidP="0079053D">
      <w:pPr>
        <w:jc w:val="both"/>
        <w:rPr>
          <w:rFonts w:cstheme="minorHAnsi"/>
          <w:lang w:val="en-GB"/>
        </w:rPr>
      </w:pPr>
      <w:r w:rsidRPr="002A657D">
        <w:rPr>
          <w:rFonts w:asciiTheme="majorHAnsi" w:hAnsiTheme="majorHAnsi" w:cstheme="majorHAnsi"/>
          <w:sz w:val="20"/>
          <w:szCs w:val="20"/>
        </w:rPr>
        <w:fldChar w:fldCharType="end"/>
      </w:r>
    </w:p>
    <w:p w14:paraId="28568DDE" w14:textId="77777777" w:rsidR="00584C89" w:rsidRPr="00C44BCD" w:rsidRDefault="00584C89" w:rsidP="00AA5C37">
      <w:pPr>
        <w:jc w:val="both"/>
        <w:rPr>
          <w:rFonts w:cstheme="minorHAnsi"/>
          <w:vertAlign w:val="subscript"/>
          <w:lang w:val="en-GB"/>
        </w:rPr>
      </w:pPr>
    </w:p>
    <w:sectPr w:rsidR="00584C89" w:rsidRPr="00C44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BB"/>
    <w:rsid w:val="00002637"/>
    <w:rsid w:val="0003049B"/>
    <w:rsid w:val="000407E0"/>
    <w:rsid w:val="00046542"/>
    <w:rsid w:val="000529B8"/>
    <w:rsid w:val="000530B5"/>
    <w:rsid w:val="000548B3"/>
    <w:rsid w:val="00060D4F"/>
    <w:rsid w:val="000615A8"/>
    <w:rsid w:val="000639F1"/>
    <w:rsid w:val="000661E5"/>
    <w:rsid w:val="00066597"/>
    <w:rsid w:val="000919C6"/>
    <w:rsid w:val="000B399A"/>
    <w:rsid w:val="000B4057"/>
    <w:rsid w:val="000C2539"/>
    <w:rsid w:val="000D08B1"/>
    <w:rsid w:val="000E58A9"/>
    <w:rsid w:val="000F1416"/>
    <w:rsid w:val="000F3516"/>
    <w:rsid w:val="000F3FEE"/>
    <w:rsid w:val="0010506C"/>
    <w:rsid w:val="00117252"/>
    <w:rsid w:val="00122092"/>
    <w:rsid w:val="00126E58"/>
    <w:rsid w:val="00133319"/>
    <w:rsid w:val="00143E3A"/>
    <w:rsid w:val="00145548"/>
    <w:rsid w:val="00162590"/>
    <w:rsid w:val="001639B0"/>
    <w:rsid w:val="00165D52"/>
    <w:rsid w:val="00172FF3"/>
    <w:rsid w:val="00180BE7"/>
    <w:rsid w:val="0019000A"/>
    <w:rsid w:val="00192031"/>
    <w:rsid w:val="00194708"/>
    <w:rsid w:val="001A024B"/>
    <w:rsid w:val="001A132B"/>
    <w:rsid w:val="001A2164"/>
    <w:rsid w:val="001A37F0"/>
    <w:rsid w:val="001B7036"/>
    <w:rsid w:val="001B7F89"/>
    <w:rsid w:val="001D718B"/>
    <w:rsid w:val="001E4191"/>
    <w:rsid w:val="001E5E5A"/>
    <w:rsid w:val="001F5600"/>
    <w:rsid w:val="002005E9"/>
    <w:rsid w:val="00204154"/>
    <w:rsid w:val="00212ACC"/>
    <w:rsid w:val="00212CA4"/>
    <w:rsid w:val="00222CB0"/>
    <w:rsid w:val="00223936"/>
    <w:rsid w:val="00223FCC"/>
    <w:rsid w:val="00225E07"/>
    <w:rsid w:val="002334A7"/>
    <w:rsid w:val="00234829"/>
    <w:rsid w:val="002418D3"/>
    <w:rsid w:val="0024308D"/>
    <w:rsid w:val="00252AD3"/>
    <w:rsid w:val="00253E2F"/>
    <w:rsid w:val="002649A0"/>
    <w:rsid w:val="00264D20"/>
    <w:rsid w:val="00266FB2"/>
    <w:rsid w:val="00283A78"/>
    <w:rsid w:val="002851FC"/>
    <w:rsid w:val="00286654"/>
    <w:rsid w:val="00291CCF"/>
    <w:rsid w:val="00295E38"/>
    <w:rsid w:val="00297730"/>
    <w:rsid w:val="002B25D9"/>
    <w:rsid w:val="002B2844"/>
    <w:rsid w:val="002B5CF0"/>
    <w:rsid w:val="002C03B1"/>
    <w:rsid w:val="002D29E2"/>
    <w:rsid w:val="002D3E9D"/>
    <w:rsid w:val="002D551D"/>
    <w:rsid w:val="002D70AF"/>
    <w:rsid w:val="002E67D0"/>
    <w:rsid w:val="002F5C81"/>
    <w:rsid w:val="002F7664"/>
    <w:rsid w:val="00301180"/>
    <w:rsid w:val="00307D7F"/>
    <w:rsid w:val="003115AB"/>
    <w:rsid w:val="003209F4"/>
    <w:rsid w:val="00323646"/>
    <w:rsid w:val="003257E7"/>
    <w:rsid w:val="00327237"/>
    <w:rsid w:val="00340689"/>
    <w:rsid w:val="00341EA5"/>
    <w:rsid w:val="0035622E"/>
    <w:rsid w:val="0036105D"/>
    <w:rsid w:val="003669DB"/>
    <w:rsid w:val="00392AD7"/>
    <w:rsid w:val="00393AD8"/>
    <w:rsid w:val="003965F6"/>
    <w:rsid w:val="003A0A32"/>
    <w:rsid w:val="003A2C80"/>
    <w:rsid w:val="003A61B9"/>
    <w:rsid w:val="003B2680"/>
    <w:rsid w:val="003B2FA8"/>
    <w:rsid w:val="003B33A4"/>
    <w:rsid w:val="003C6823"/>
    <w:rsid w:val="003C6EBC"/>
    <w:rsid w:val="003D4AEC"/>
    <w:rsid w:val="003E3C1D"/>
    <w:rsid w:val="003F49E8"/>
    <w:rsid w:val="00402449"/>
    <w:rsid w:val="004072B8"/>
    <w:rsid w:val="004350F9"/>
    <w:rsid w:val="00446DBB"/>
    <w:rsid w:val="004550BD"/>
    <w:rsid w:val="00470814"/>
    <w:rsid w:val="00471760"/>
    <w:rsid w:val="00472F77"/>
    <w:rsid w:val="00481AF6"/>
    <w:rsid w:val="004823F4"/>
    <w:rsid w:val="004A263E"/>
    <w:rsid w:val="004A2F32"/>
    <w:rsid w:val="004B0705"/>
    <w:rsid w:val="004D4945"/>
    <w:rsid w:val="004D4FA2"/>
    <w:rsid w:val="004E022F"/>
    <w:rsid w:val="004F4B8C"/>
    <w:rsid w:val="004F6554"/>
    <w:rsid w:val="00500B34"/>
    <w:rsid w:val="00502FA8"/>
    <w:rsid w:val="00505BCE"/>
    <w:rsid w:val="00505C77"/>
    <w:rsid w:val="00510DE2"/>
    <w:rsid w:val="00515005"/>
    <w:rsid w:val="005176E5"/>
    <w:rsid w:val="00520350"/>
    <w:rsid w:val="0052042C"/>
    <w:rsid w:val="005230D7"/>
    <w:rsid w:val="005259F8"/>
    <w:rsid w:val="00526454"/>
    <w:rsid w:val="00533A5B"/>
    <w:rsid w:val="005540ED"/>
    <w:rsid w:val="00564409"/>
    <w:rsid w:val="005718F3"/>
    <w:rsid w:val="00584C89"/>
    <w:rsid w:val="0058791E"/>
    <w:rsid w:val="00587F23"/>
    <w:rsid w:val="00591819"/>
    <w:rsid w:val="00594ED2"/>
    <w:rsid w:val="005A27A7"/>
    <w:rsid w:val="005A50E0"/>
    <w:rsid w:val="005A5F50"/>
    <w:rsid w:val="005B3545"/>
    <w:rsid w:val="005D3E4F"/>
    <w:rsid w:val="005D4B4F"/>
    <w:rsid w:val="005E5D70"/>
    <w:rsid w:val="005E73FB"/>
    <w:rsid w:val="005E7555"/>
    <w:rsid w:val="005F5A7B"/>
    <w:rsid w:val="00601240"/>
    <w:rsid w:val="0060241C"/>
    <w:rsid w:val="006029CE"/>
    <w:rsid w:val="00602E2A"/>
    <w:rsid w:val="00635392"/>
    <w:rsid w:val="006363F0"/>
    <w:rsid w:val="006376C5"/>
    <w:rsid w:val="0064074D"/>
    <w:rsid w:val="006448E4"/>
    <w:rsid w:val="00646B67"/>
    <w:rsid w:val="00665707"/>
    <w:rsid w:val="00670431"/>
    <w:rsid w:val="006847BF"/>
    <w:rsid w:val="00694E19"/>
    <w:rsid w:val="006A7916"/>
    <w:rsid w:val="006C0DC4"/>
    <w:rsid w:val="006C1EC0"/>
    <w:rsid w:val="006C7C1D"/>
    <w:rsid w:val="006E5EB5"/>
    <w:rsid w:val="006F5AC0"/>
    <w:rsid w:val="00711291"/>
    <w:rsid w:val="00713279"/>
    <w:rsid w:val="00731AD6"/>
    <w:rsid w:val="007323E4"/>
    <w:rsid w:val="00742A8C"/>
    <w:rsid w:val="00745F2C"/>
    <w:rsid w:val="00755AD2"/>
    <w:rsid w:val="0076715C"/>
    <w:rsid w:val="00770372"/>
    <w:rsid w:val="00773258"/>
    <w:rsid w:val="0079053D"/>
    <w:rsid w:val="00794BAB"/>
    <w:rsid w:val="007A2148"/>
    <w:rsid w:val="007A34CF"/>
    <w:rsid w:val="007A41B1"/>
    <w:rsid w:val="007B5C68"/>
    <w:rsid w:val="007C34CA"/>
    <w:rsid w:val="007C39D2"/>
    <w:rsid w:val="007C4926"/>
    <w:rsid w:val="007D3837"/>
    <w:rsid w:val="007D3E10"/>
    <w:rsid w:val="007E7F7D"/>
    <w:rsid w:val="007F403F"/>
    <w:rsid w:val="007F6795"/>
    <w:rsid w:val="007F6A80"/>
    <w:rsid w:val="008014C2"/>
    <w:rsid w:val="0081051A"/>
    <w:rsid w:val="008146DD"/>
    <w:rsid w:val="00820891"/>
    <w:rsid w:val="00822FC8"/>
    <w:rsid w:val="00844A81"/>
    <w:rsid w:val="0087383E"/>
    <w:rsid w:val="00877C74"/>
    <w:rsid w:val="00884454"/>
    <w:rsid w:val="00893F7C"/>
    <w:rsid w:val="008A2256"/>
    <w:rsid w:val="008A3135"/>
    <w:rsid w:val="008B0C73"/>
    <w:rsid w:val="008B73BB"/>
    <w:rsid w:val="008C699C"/>
    <w:rsid w:val="008D1681"/>
    <w:rsid w:val="008E113F"/>
    <w:rsid w:val="008F163A"/>
    <w:rsid w:val="008F2B1D"/>
    <w:rsid w:val="008F440C"/>
    <w:rsid w:val="008F66D7"/>
    <w:rsid w:val="00900B2D"/>
    <w:rsid w:val="00925A39"/>
    <w:rsid w:val="00940DCE"/>
    <w:rsid w:val="00952D2E"/>
    <w:rsid w:val="009530CB"/>
    <w:rsid w:val="009631FB"/>
    <w:rsid w:val="00965738"/>
    <w:rsid w:val="00971972"/>
    <w:rsid w:val="00972EB8"/>
    <w:rsid w:val="00973997"/>
    <w:rsid w:val="009751EC"/>
    <w:rsid w:val="00980EFA"/>
    <w:rsid w:val="00992662"/>
    <w:rsid w:val="0099485B"/>
    <w:rsid w:val="00997649"/>
    <w:rsid w:val="009A3CD7"/>
    <w:rsid w:val="009A71A9"/>
    <w:rsid w:val="009B2F8C"/>
    <w:rsid w:val="009B4BAE"/>
    <w:rsid w:val="009C14A3"/>
    <w:rsid w:val="009C4276"/>
    <w:rsid w:val="009D2269"/>
    <w:rsid w:val="009D5C5F"/>
    <w:rsid w:val="009D6711"/>
    <w:rsid w:val="009D7B76"/>
    <w:rsid w:val="009F3EDE"/>
    <w:rsid w:val="009F40FD"/>
    <w:rsid w:val="009F594D"/>
    <w:rsid w:val="00A025E9"/>
    <w:rsid w:val="00A13DEF"/>
    <w:rsid w:val="00A157D8"/>
    <w:rsid w:val="00A23855"/>
    <w:rsid w:val="00A25951"/>
    <w:rsid w:val="00A30613"/>
    <w:rsid w:val="00A32653"/>
    <w:rsid w:val="00A33EC3"/>
    <w:rsid w:val="00A34853"/>
    <w:rsid w:val="00A36DDB"/>
    <w:rsid w:val="00A47A14"/>
    <w:rsid w:val="00A501CF"/>
    <w:rsid w:val="00A55F3F"/>
    <w:rsid w:val="00A61386"/>
    <w:rsid w:val="00A63AB4"/>
    <w:rsid w:val="00A64388"/>
    <w:rsid w:val="00A661D5"/>
    <w:rsid w:val="00A71371"/>
    <w:rsid w:val="00A77952"/>
    <w:rsid w:val="00A77E05"/>
    <w:rsid w:val="00A80F5C"/>
    <w:rsid w:val="00A8116D"/>
    <w:rsid w:val="00A82BEB"/>
    <w:rsid w:val="00A83E44"/>
    <w:rsid w:val="00A864D4"/>
    <w:rsid w:val="00A90ACC"/>
    <w:rsid w:val="00A9167B"/>
    <w:rsid w:val="00AA19B8"/>
    <w:rsid w:val="00AA2A4F"/>
    <w:rsid w:val="00AA5C37"/>
    <w:rsid w:val="00AB2038"/>
    <w:rsid w:val="00AB3347"/>
    <w:rsid w:val="00AC3CBA"/>
    <w:rsid w:val="00AC75B2"/>
    <w:rsid w:val="00AD3586"/>
    <w:rsid w:val="00AD3F91"/>
    <w:rsid w:val="00AE3C0E"/>
    <w:rsid w:val="00AF3713"/>
    <w:rsid w:val="00AF492D"/>
    <w:rsid w:val="00AF7AD6"/>
    <w:rsid w:val="00B04AEA"/>
    <w:rsid w:val="00B069D3"/>
    <w:rsid w:val="00B124B7"/>
    <w:rsid w:val="00B15B5E"/>
    <w:rsid w:val="00B2221D"/>
    <w:rsid w:val="00B34AB4"/>
    <w:rsid w:val="00B34ECF"/>
    <w:rsid w:val="00B3772D"/>
    <w:rsid w:val="00B43241"/>
    <w:rsid w:val="00B44D5D"/>
    <w:rsid w:val="00B47D2D"/>
    <w:rsid w:val="00B55364"/>
    <w:rsid w:val="00B57F65"/>
    <w:rsid w:val="00B679DD"/>
    <w:rsid w:val="00B67BA8"/>
    <w:rsid w:val="00B913C3"/>
    <w:rsid w:val="00B92991"/>
    <w:rsid w:val="00BA0DBF"/>
    <w:rsid w:val="00BA461D"/>
    <w:rsid w:val="00BB0198"/>
    <w:rsid w:val="00BB039D"/>
    <w:rsid w:val="00BC3F7A"/>
    <w:rsid w:val="00BC60DC"/>
    <w:rsid w:val="00BD36D8"/>
    <w:rsid w:val="00BD55C6"/>
    <w:rsid w:val="00BE2062"/>
    <w:rsid w:val="00BE4747"/>
    <w:rsid w:val="00BE53BD"/>
    <w:rsid w:val="00BE7321"/>
    <w:rsid w:val="00BF1304"/>
    <w:rsid w:val="00BF26FF"/>
    <w:rsid w:val="00C14FF7"/>
    <w:rsid w:val="00C163B6"/>
    <w:rsid w:val="00C20E7E"/>
    <w:rsid w:val="00C438E8"/>
    <w:rsid w:val="00C44BCD"/>
    <w:rsid w:val="00C5266F"/>
    <w:rsid w:val="00C56E72"/>
    <w:rsid w:val="00C67D61"/>
    <w:rsid w:val="00C72BA2"/>
    <w:rsid w:val="00C72C31"/>
    <w:rsid w:val="00C7575C"/>
    <w:rsid w:val="00C8593A"/>
    <w:rsid w:val="00C9048A"/>
    <w:rsid w:val="00C943CA"/>
    <w:rsid w:val="00C95315"/>
    <w:rsid w:val="00C97CAB"/>
    <w:rsid w:val="00CA0A4F"/>
    <w:rsid w:val="00CB0FAA"/>
    <w:rsid w:val="00CB4E4A"/>
    <w:rsid w:val="00CB4FBE"/>
    <w:rsid w:val="00CB5C8E"/>
    <w:rsid w:val="00CB61FD"/>
    <w:rsid w:val="00CB6435"/>
    <w:rsid w:val="00CB797F"/>
    <w:rsid w:val="00CC3022"/>
    <w:rsid w:val="00CC389B"/>
    <w:rsid w:val="00CC7737"/>
    <w:rsid w:val="00CD1F61"/>
    <w:rsid w:val="00CE7FEA"/>
    <w:rsid w:val="00CF4F65"/>
    <w:rsid w:val="00CF7CAA"/>
    <w:rsid w:val="00D238C3"/>
    <w:rsid w:val="00D32FE5"/>
    <w:rsid w:val="00D35AB8"/>
    <w:rsid w:val="00D43B60"/>
    <w:rsid w:val="00D4404A"/>
    <w:rsid w:val="00D541AA"/>
    <w:rsid w:val="00D57C9F"/>
    <w:rsid w:val="00D61985"/>
    <w:rsid w:val="00D64092"/>
    <w:rsid w:val="00D70DD8"/>
    <w:rsid w:val="00D721E1"/>
    <w:rsid w:val="00D933E9"/>
    <w:rsid w:val="00D961E3"/>
    <w:rsid w:val="00DA26F1"/>
    <w:rsid w:val="00DA5DFD"/>
    <w:rsid w:val="00DB3875"/>
    <w:rsid w:val="00DB3D79"/>
    <w:rsid w:val="00DC0674"/>
    <w:rsid w:val="00DD0A26"/>
    <w:rsid w:val="00DD1A0E"/>
    <w:rsid w:val="00DD72D5"/>
    <w:rsid w:val="00DE02F6"/>
    <w:rsid w:val="00DE231F"/>
    <w:rsid w:val="00E00CE3"/>
    <w:rsid w:val="00E406F3"/>
    <w:rsid w:val="00E40F9B"/>
    <w:rsid w:val="00E410EB"/>
    <w:rsid w:val="00E4160C"/>
    <w:rsid w:val="00E41FAE"/>
    <w:rsid w:val="00E47E5B"/>
    <w:rsid w:val="00E570E6"/>
    <w:rsid w:val="00E5768C"/>
    <w:rsid w:val="00E60051"/>
    <w:rsid w:val="00E764A7"/>
    <w:rsid w:val="00E83E5F"/>
    <w:rsid w:val="00E91798"/>
    <w:rsid w:val="00E92B70"/>
    <w:rsid w:val="00E94E28"/>
    <w:rsid w:val="00EA4FC3"/>
    <w:rsid w:val="00EA5E86"/>
    <w:rsid w:val="00EA647B"/>
    <w:rsid w:val="00EB3129"/>
    <w:rsid w:val="00EB3DEC"/>
    <w:rsid w:val="00EB7D54"/>
    <w:rsid w:val="00EC1EBD"/>
    <w:rsid w:val="00EC643D"/>
    <w:rsid w:val="00ED2ABB"/>
    <w:rsid w:val="00ED385A"/>
    <w:rsid w:val="00EE2EF7"/>
    <w:rsid w:val="00EE3CF9"/>
    <w:rsid w:val="00EF4EC0"/>
    <w:rsid w:val="00EF5898"/>
    <w:rsid w:val="00F051F9"/>
    <w:rsid w:val="00F052C2"/>
    <w:rsid w:val="00F07759"/>
    <w:rsid w:val="00F122D9"/>
    <w:rsid w:val="00F12E95"/>
    <w:rsid w:val="00F13717"/>
    <w:rsid w:val="00F1458F"/>
    <w:rsid w:val="00F23816"/>
    <w:rsid w:val="00F32D99"/>
    <w:rsid w:val="00F33093"/>
    <w:rsid w:val="00F33F6A"/>
    <w:rsid w:val="00F408A8"/>
    <w:rsid w:val="00F50996"/>
    <w:rsid w:val="00F51672"/>
    <w:rsid w:val="00F532AC"/>
    <w:rsid w:val="00F5736F"/>
    <w:rsid w:val="00F75CD4"/>
    <w:rsid w:val="00F813B0"/>
    <w:rsid w:val="00F8770C"/>
    <w:rsid w:val="00F92BB3"/>
    <w:rsid w:val="00FA54F1"/>
    <w:rsid w:val="00FC3EE7"/>
    <w:rsid w:val="00FC75F1"/>
    <w:rsid w:val="00FE1355"/>
    <w:rsid w:val="00FE5152"/>
    <w:rsid w:val="00FF10C5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E00BF"/>
  <w15:chartTrackingRefBased/>
  <w15:docId w15:val="{8187CF42-E9D6-4921-8B7D-C7A5B63D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3B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C6EB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84C89"/>
    <w:rPr>
      <w:color w:val="0000FF"/>
      <w:u w:val="single"/>
    </w:rPr>
  </w:style>
  <w:style w:type="character" w:customStyle="1" w:styleId="docsum-authors">
    <w:name w:val="docsum-authors"/>
    <w:basedOn w:val="DefaultParagraphFont"/>
    <w:rsid w:val="00584C89"/>
  </w:style>
  <w:style w:type="character" w:customStyle="1" w:styleId="docsum-journal-citation">
    <w:name w:val="docsum-journal-citation"/>
    <w:basedOn w:val="DefaultParagraphFont"/>
    <w:rsid w:val="00584C89"/>
  </w:style>
  <w:style w:type="paragraph" w:customStyle="1" w:styleId="EndNoteBibliography">
    <w:name w:val="EndNote Bibliography"/>
    <w:basedOn w:val="Normal"/>
    <w:link w:val="EndNoteBibliographyChar"/>
    <w:rsid w:val="0079053D"/>
    <w:pPr>
      <w:jc w:val="both"/>
    </w:pPr>
    <w:rPr>
      <w:rFonts w:ascii="Calibri" w:eastAsiaTheme="minorHAns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79053D"/>
    <w:rPr>
      <w:rFonts w:ascii="Calibri" w:hAnsi="Calibri" w:cs="Calibri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7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4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omas.keeley@ndm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mmie.bishop@ndm.ox.ac.uk" TargetMode="External"/><Relationship Id="rId5" Type="http://schemas.openxmlformats.org/officeDocument/2006/relationships/hyperlink" Target="mailto:peter.ratcliffe@ndm.ox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5F7133-5411-42B0-93AA-B5768342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Skirmantas Kriaucionis</dc:creator>
  <cp:keywords/>
  <dc:description/>
  <cp:lastModifiedBy>Tammie Bishop</cp:lastModifiedBy>
  <cp:revision>6</cp:revision>
  <dcterms:created xsi:type="dcterms:W3CDTF">2022-06-05T18:43:00Z</dcterms:created>
  <dcterms:modified xsi:type="dcterms:W3CDTF">2022-06-30T07:03:00Z</dcterms:modified>
</cp:coreProperties>
</file>